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1B6E" w14:textId="77777777" w:rsidR="00D27DC8" w:rsidRDefault="00D27DC8" w:rsidP="009B4AD7">
      <w:pPr>
        <w:jc w:val="center"/>
        <w:rPr>
          <w:rFonts w:asciiTheme="majorHAnsi" w:hAnsiTheme="majorHAnsi" w:cs="Cambria"/>
          <w:sz w:val="72"/>
          <w:szCs w:val="72"/>
          <w:lang w:val="en-US"/>
        </w:rPr>
      </w:pPr>
    </w:p>
    <w:p w14:paraId="34E519DD" w14:textId="77777777" w:rsidR="00D27DC8" w:rsidRDefault="00D27DC8" w:rsidP="009B4AD7">
      <w:pPr>
        <w:jc w:val="center"/>
        <w:rPr>
          <w:rFonts w:asciiTheme="majorHAnsi" w:hAnsiTheme="majorHAnsi" w:cs="Cambria"/>
          <w:sz w:val="72"/>
          <w:szCs w:val="72"/>
          <w:lang w:val="en-US"/>
        </w:rPr>
      </w:pPr>
    </w:p>
    <w:p w14:paraId="00BCDD7F" w14:textId="6F362CC4" w:rsidR="0084330E" w:rsidRDefault="00D27DC8" w:rsidP="009B4AD7">
      <w:pPr>
        <w:jc w:val="center"/>
        <w:rPr>
          <w:rFonts w:asciiTheme="majorHAnsi" w:hAnsiTheme="majorHAnsi" w:cs="Cambria"/>
          <w:sz w:val="72"/>
          <w:szCs w:val="72"/>
          <w:lang w:val="en-US"/>
        </w:rPr>
      </w:pPr>
      <w:r>
        <w:rPr>
          <w:rFonts w:asciiTheme="majorHAnsi" w:hAnsiTheme="majorHAnsi" w:cs="Cambria"/>
          <w:sz w:val="72"/>
          <w:szCs w:val="72"/>
          <w:lang w:val="en-US"/>
        </w:rPr>
        <w:t>Whole School Engag</w:t>
      </w:r>
      <w:r w:rsidR="00502855">
        <w:rPr>
          <w:rFonts w:asciiTheme="majorHAnsi" w:hAnsiTheme="majorHAnsi" w:cs="Cambria"/>
          <w:sz w:val="72"/>
          <w:szCs w:val="72"/>
          <w:lang w:val="en-US"/>
        </w:rPr>
        <w:t>e</w:t>
      </w:r>
      <w:bookmarkStart w:id="0" w:name="_GoBack"/>
      <w:bookmarkEnd w:id="0"/>
      <w:r>
        <w:rPr>
          <w:rFonts w:asciiTheme="majorHAnsi" w:hAnsiTheme="majorHAnsi" w:cs="Cambria"/>
          <w:sz w:val="72"/>
          <w:szCs w:val="72"/>
          <w:lang w:val="en-US"/>
        </w:rPr>
        <w:t>ment</w:t>
      </w:r>
    </w:p>
    <w:p w14:paraId="2C568A42" w14:textId="77777777" w:rsidR="009B4AD7" w:rsidRDefault="009B4AD7" w:rsidP="009B4AD7">
      <w:pPr>
        <w:jc w:val="center"/>
        <w:rPr>
          <w:rFonts w:asciiTheme="majorHAnsi" w:hAnsiTheme="majorHAnsi" w:cs="Cambria"/>
          <w:sz w:val="72"/>
          <w:szCs w:val="72"/>
          <w:lang w:val="en-US"/>
        </w:rPr>
      </w:pPr>
    </w:p>
    <w:p w14:paraId="0F02CFDC" w14:textId="77777777" w:rsidR="009B4AD7" w:rsidRDefault="009B4AD7" w:rsidP="009B4AD7">
      <w:pPr>
        <w:jc w:val="center"/>
        <w:rPr>
          <w:rFonts w:asciiTheme="majorHAnsi" w:hAnsiTheme="majorHAnsi" w:cs="Cambria"/>
          <w:sz w:val="72"/>
          <w:szCs w:val="72"/>
          <w:lang w:val="en-US"/>
        </w:rPr>
      </w:pPr>
    </w:p>
    <w:p w14:paraId="79ECE224" w14:textId="77777777" w:rsidR="009B4AD7" w:rsidRPr="005B5AFB" w:rsidRDefault="009B4AD7" w:rsidP="009B4AD7">
      <w:pPr>
        <w:jc w:val="center"/>
        <w:rPr>
          <w:rFonts w:asciiTheme="majorHAnsi" w:hAnsiTheme="majorHAnsi" w:cs="Cambria"/>
          <w:sz w:val="72"/>
          <w:szCs w:val="72"/>
          <w:lang w:val="en-US"/>
        </w:rPr>
      </w:pPr>
    </w:p>
    <w:p w14:paraId="0FAC7A43" w14:textId="77777777" w:rsidR="009B4AD7" w:rsidRPr="005B5AFB" w:rsidRDefault="009B4AD7" w:rsidP="009B4AD7">
      <w:pPr>
        <w:jc w:val="center"/>
        <w:rPr>
          <w:rFonts w:asciiTheme="majorHAnsi" w:hAnsiTheme="majorHAnsi" w:cs="Cambria"/>
          <w:sz w:val="72"/>
          <w:szCs w:val="72"/>
          <w:lang w:val="en-US"/>
        </w:rPr>
      </w:pPr>
      <w:r w:rsidRPr="005B5AFB">
        <w:rPr>
          <w:rFonts w:asciiTheme="majorHAnsi" w:hAnsiTheme="majorHAnsi" w:cs="Cambria"/>
          <w:sz w:val="72"/>
          <w:szCs w:val="72"/>
          <w:lang w:val="en-US"/>
        </w:rPr>
        <w:t>Stephen Pinel</w:t>
      </w:r>
    </w:p>
    <w:p w14:paraId="5B0B8B1B" w14:textId="77777777" w:rsidR="009B4AD7" w:rsidRDefault="009B4AD7" w:rsidP="00AE17FD">
      <w:pPr>
        <w:rPr>
          <w:rFonts w:ascii="Arial" w:eastAsia="Times New Roman" w:hAnsi="Arial" w:cs="Arial"/>
          <w:color w:val="222222"/>
          <w:sz w:val="20"/>
          <w:szCs w:val="20"/>
          <w:shd w:val="clear" w:color="auto" w:fill="FFFFFF"/>
          <w:lang w:val="en-US"/>
        </w:rPr>
      </w:pPr>
    </w:p>
    <w:p w14:paraId="64E476EE" w14:textId="77777777" w:rsidR="009B4AD7" w:rsidRDefault="009B4AD7" w:rsidP="00AE17FD">
      <w:pPr>
        <w:rPr>
          <w:rFonts w:ascii="Arial" w:eastAsia="Times New Roman" w:hAnsi="Arial" w:cs="Arial"/>
          <w:color w:val="222222"/>
          <w:sz w:val="20"/>
          <w:szCs w:val="20"/>
          <w:shd w:val="clear" w:color="auto" w:fill="FFFFFF"/>
          <w:lang w:val="en-US"/>
        </w:rPr>
      </w:pPr>
    </w:p>
    <w:p w14:paraId="2BB3666C" w14:textId="77777777" w:rsidR="009B4AD7" w:rsidRDefault="009B4AD7" w:rsidP="00AE17FD">
      <w:pPr>
        <w:rPr>
          <w:rFonts w:ascii="Arial" w:eastAsia="Times New Roman" w:hAnsi="Arial" w:cs="Arial"/>
          <w:color w:val="222222"/>
          <w:sz w:val="20"/>
          <w:szCs w:val="20"/>
          <w:shd w:val="clear" w:color="auto" w:fill="FFFFFF"/>
          <w:lang w:val="en-US"/>
        </w:rPr>
      </w:pPr>
    </w:p>
    <w:p w14:paraId="1C6D0E89" w14:textId="77777777" w:rsidR="009B4AD7" w:rsidRDefault="009B4AD7" w:rsidP="00AE17FD">
      <w:pPr>
        <w:rPr>
          <w:rFonts w:ascii="Arial" w:eastAsia="Times New Roman" w:hAnsi="Arial" w:cs="Arial"/>
          <w:color w:val="222222"/>
          <w:sz w:val="20"/>
          <w:szCs w:val="20"/>
          <w:shd w:val="clear" w:color="auto" w:fill="FFFFFF"/>
          <w:lang w:val="en-US"/>
        </w:rPr>
      </w:pPr>
    </w:p>
    <w:p w14:paraId="331996B9" w14:textId="77777777" w:rsidR="00635052" w:rsidRDefault="00635052"/>
    <w:p w14:paraId="0D70E19F" w14:textId="77777777" w:rsidR="00635052" w:rsidRDefault="00635052"/>
    <w:p w14:paraId="51751B76" w14:textId="464E4A81" w:rsidR="00B462EE" w:rsidRDefault="00B462EE" w:rsidP="00B462EE">
      <w:r w:rsidRPr="00B462EE">
        <w:rPr>
          <w:b/>
        </w:rPr>
        <w:t>Abstract:</w:t>
      </w:r>
      <w:r>
        <w:t xml:space="preserve">  Students come to our schools and classrooms from a range of contexts, home experiences and different school experiences.  These experiences can have a profound impact on the engagement they display when they enter our classrooms.  An understanding of the different learning behaviours of our students, and how engagement impacts on those behaviours, can assist in helping schools and teachers develop whole school programs and teaching techniques that will both engage as many students as possible to their best possible extent, and also work to improve the engagement of each students.  Using Schlechty’s model of engagement, a sample of Learning Theories, well being and behaviour management processes, and Teaching Techniques are linked together to create a framework for improving Whole School Engagement.</w:t>
      </w:r>
    </w:p>
    <w:p w14:paraId="3E2652A1" w14:textId="77777777" w:rsidR="006841C6" w:rsidRDefault="006841C6" w:rsidP="006841C6"/>
    <w:p w14:paraId="3004CCEA" w14:textId="77777777" w:rsidR="006841C6" w:rsidRDefault="006841C6" w:rsidP="006841C6"/>
    <w:p w14:paraId="4335EEDF" w14:textId="5025B3F2" w:rsidR="00276655" w:rsidRDefault="00276655">
      <w:r>
        <w:br w:type="page"/>
      </w:r>
    </w:p>
    <w:sdt>
      <w:sdtPr>
        <w:rPr>
          <w:rFonts w:asciiTheme="minorHAnsi" w:eastAsiaTheme="minorHAnsi" w:hAnsiTheme="minorHAnsi" w:cstheme="minorBidi"/>
          <w:b w:val="0"/>
          <w:bCs w:val="0"/>
          <w:color w:val="auto"/>
          <w:sz w:val="24"/>
          <w:szCs w:val="24"/>
          <w:lang w:val="en-AU"/>
        </w:rPr>
        <w:id w:val="-1251649251"/>
        <w:docPartObj>
          <w:docPartGallery w:val="Table of Contents"/>
          <w:docPartUnique/>
        </w:docPartObj>
      </w:sdtPr>
      <w:sdtEndPr>
        <w:rPr>
          <w:noProof/>
        </w:rPr>
      </w:sdtEndPr>
      <w:sdtContent>
        <w:p w14:paraId="0AC38EBD" w14:textId="30A590DE" w:rsidR="00B65237" w:rsidRDefault="00B65237">
          <w:pPr>
            <w:pStyle w:val="TOCHeading"/>
          </w:pPr>
          <w:r>
            <w:t>Table of Contents</w:t>
          </w:r>
        </w:p>
        <w:p w14:paraId="1768EB73" w14:textId="77777777" w:rsidR="00B65237" w:rsidRDefault="00B65237">
          <w:pPr>
            <w:pStyle w:val="TOC1"/>
            <w:tabs>
              <w:tab w:val="left" w:pos="480"/>
              <w:tab w:val="right" w:leader="dot" w:pos="9010"/>
            </w:tabs>
            <w:rPr>
              <w:rFonts w:eastAsiaTheme="minorEastAsia"/>
              <w:b w:val="0"/>
              <w:caps w:val="0"/>
              <w:noProof/>
              <w:sz w:val="24"/>
              <w:szCs w:val="24"/>
              <w:lang w:val="en-US"/>
            </w:rPr>
          </w:pPr>
          <w:r>
            <w:rPr>
              <w:b w:val="0"/>
            </w:rPr>
            <w:fldChar w:fldCharType="begin"/>
          </w:r>
          <w:r>
            <w:instrText xml:space="preserve"> TOC \o "1-3" \h \z \u </w:instrText>
          </w:r>
          <w:r>
            <w:rPr>
              <w:b w:val="0"/>
            </w:rPr>
            <w:fldChar w:fldCharType="separate"/>
          </w:r>
          <w:hyperlink w:anchor="_Toc430900481" w:history="1">
            <w:r w:rsidRPr="00534791">
              <w:rPr>
                <w:rStyle w:val="Hyperlink"/>
                <w:noProof/>
                <w:lang w:bidi="en-US"/>
              </w:rPr>
              <w:t>1.</w:t>
            </w:r>
            <w:r>
              <w:rPr>
                <w:rFonts w:eastAsiaTheme="minorEastAsia"/>
                <w:b w:val="0"/>
                <w:caps w:val="0"/>
                <w:noProof/>
                <w:sz w:val="24"/>
                <w:szCs w:val="24"/>
                <w:lang w:val="en-US"/>
              </w:rPr>
              <w:tab/>
            </w:r>
            <w:r w:rsidRPr="00534791">
              <w:rPr>
                <w:rStyle w:val="Hyperlink"/>
                <w:noProof/>
                <w:lang w:bidi="en-US"/>
              </w:rPr>
              <w:t>Introduction</w:t>
            </w:r>
            <w:r>
              <w:rPr>
                <w:noProof/>
                <w:webHidden/>
              </w:rPr>
              <w:tab/>
            </w:r>
            <w:r>
              <w:rPr>
                <w:noProof/>
                <w:webHidden/>
              </w:rPr>
              <w:fldChar w:fldCharType="begin"/>
            </w:r>
            <w:r>
              <w:rPr>
                <w:noProof/>
                <w:webHidden/>
              </w:rPr>
              <w:instrText xml:space="preserve"> PAGEREF _Toc430900481 \h </w:instrText>
            </w:r>
            <w:r>
              <w:rPr>
                <w:noProof/>
                <w:webHidden/>
              </w:rPr>
            </w:r>
            <w:r>
              <w:rPr>
                <w:noProof/>
                <w:webHidden/>
              </w:rPr>
              <w:fldChar w:fldCharType="separate"/>
            </w:r>
            <w:r>
              <w:rPr>
                <w:noProof/>
                <w:webHidden/>
              </w:rPr>
              <w:t>3</w:t>
            </w:r>
            <w:r>
              <w:rPr>
                <w:noProof/>
                <w:webHidden/>
              </w:rPr>
              <w:fldChar w:fldCharType="end"/>
            </w:r>
          </w:hyperlink>
        </w:p>
        <w:p w14:paraId="2F1D6BED"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82" w:history="1">
            <w:r w:rsidR="00B65237" w:rsidRPr="00534791">
              <w:rPr>
                <w:rStyle w:val="Hyperlink"/>
                <w:noProof/>
                <w:lang w:bidi="en-US"/>
              </w:rPr>
              <w:t>1.1.</w:t>
            </w:r>
            <w:r w:rsidR="00B65237">
              <w:rPr>
                <w:rFonts w:eastAsiaTheme="minorEastAsia"/>
                <w:b w:val="0"/>
                <w:caps w:val="0"/>
                <w:noProof/>
                <w:sz w:val="24"/>
                <w:szCs w:val="24"/>
                <w:lang w:val="en-US"/>
              </w:rPr>
              <w:tab/>
            </w:r>
            <w:r w:rsidR="00B65237" w:rsidRPr="00534791">
              <w:rPr>
                <w:rStyle w:val="Hyperlink"/>
                <w:noProof/>
                <w:lang w:bidi="en-US"/>
              </w:rPr>
              <w:t>Critique of Authenticity &amp; Authentic Learning in the Literature</w:t>
            </w:r>
            <w:r w:rsidR="00B65237">
              <w:rPr>
                <w:noProof/>
                <w:webHidden/>
              </w:rPr>
              <w:tab/>
            </w:r>
            <w:r w:rsidR="00B65237">
              <w:rPr>
                <w:noProof/>
                <w:webHidden/>
              </w:rPr>
              <w:fldChar w:fldCharType="begin"/>
            </w:r>
            <w:r w:rsidR="00B65237">
              <w:rPr>
                <w:noProof/>
                <w:webHidden/>
              </w:rPr>
              <w:instrText xml:space="preserve"> PAGEREF _Toc430900482 \h </w:instrText>
            </w:r>
            <w:r w:rsidR="00B65237">
              <w:rPr>
                <w:noProof/>
                <w:webHidden/>
              </w:rPr>
            </w:r>
            <w:r w:rsidR="00B65237">
              <w:rPr>
                <w:noProof/>
                <w:webHidden/>
              </w:rPr>
              <w:fldChar w:fldCharType="separate"/>
            </w:r>
            <w:r w:rsidR="00B65237">
              <w:rPr>
                <w:noProof/>
                <w:webHidden/>
              </w:rPr>
              <w:t>3</w:t>
            </w:r>
            <w:r w:rsidR="00B65237">
              <w:rPr>
                <w:noProof/>
                <w:webHidden/>
              </w:rPr>
              <w:fldChar w:fldCharType="end"/>
            </w:r>
          </w:hyperlink>
        </w:p>
        <w:p w14:paraId="16C23213"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83" w:history="1">
            <w:r w:rsidR="00B65237" w:rsidRPr="00534791">
              <w:rPr>
                <w:rStyle w:val="Hyperlink"/>
                <w:noProof/>
                <w:lang w:bidi="en-US"/>
              </w:rPr>
              <w:t>1.2.</w:t>
            </w:r>
            <w:r w:rsidR="00B65237">
              <w:rPr>
                <w:rFonts w:eastAsiaTheme="minorEastAsia"/>
                <w:b w:val="0"/>
                <w:caps w:val="0"/>
                <w:noProof/>
                <w:sz w:val="24"/>
                <w:szCs w:val="24"/>
                <w:lang w:val="en-US"/>
              </w:rPr>
              <w:tab/>
            </w:r>
            <w:r w:rsidR="00B65237" w:rsidRPr="00534791">
              <w:rPr>
                <w:rStyle w:val="Hyperlink"/>
                <w:noProof/>
                <w:lang w:bidi="en-US"/>
              </w:rPr>
              <w:t>Learning Theories and Instructional Theories</w:t>
            </w:r>
            <w:r w:rsidR="00B65237">
              <w:rPr>
                <w:noProof/>
                <w:webHidden/>
              </w:rPr>
              <w:tab/>
            </w:r>
            <w:r w:rsidR="00B65237">
              <w:rPr>
                <w:noProof/>
                <w:webHidden/>
              </w:rPr>
              <w:fldChar w:fldCharType="begin"/>
            </w:r>
            <w:r w:rsidR="00B65237">
              <w:rPr>
                <w:noProof/>
                <w:webHidden/>
              </w:rPr>
              <w:instrText xml:space="preserve"> PAGEREF _Toc430900483 \h </w:instrText>
            </w:r>
            <w:r w:rsidR="00B65237">
              <w:rPr>
                <w:noProof/>
                <w:webHidden/>
              </w:rPr>
            </w:r>
            <w:r w:rsidR="00B65237">
              <w:rPr>
                <w:noProof/>
                <w:webHidden/>
              </w:rPr>
              <w:fldChar w:fldCharType="separate"/>
            </w:r>
            <w:r w:rsidR="00B65237">
              <w:rPr>
                <w:noProof/>
                <w:webHidden/>
              </w:rPr>
              <w:t>4</w:t>
            </w:r>
            <w:r w:rsidR="00B65237">
              <w:rPr>
                <w:noProof/>
                <w:webHidden/>
              </w:rPr>
              <w:fldChar w:fldCharType="end"/>
            </w:r>
          </w:hyperlink>
        </w:p>
        <w:p w14:paraId="3307C79D"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84" w:history="1">
            <w:r w:rsidR="00B65237" w:rsidRPr="00534791">
              <w:rPr>
                <w:rStyle w:val="Hyperlink"/>
                <w:noProof/>
                <w:lang w:bidi="en-US"/>
              </w:rPr>
              <w:t>1.3.</w:t>
            </w:r>
            <w:r w:rsidR="00B65237">
              <w:rPr>
                <w:rFonts w:eastAsiaTheme="minorEastAsia"/>
                <w:b w:val="0"/>
                <w:caps w:val="0"/>
                <w:noProof/>
                <w:sz w:val="24"/>
                <w:szCs w:val="24"/>
                <w:lang w:val="en-US"/>
              </w:rPr>
              <w:tab/>
            </w:r>
            <w:r w:rsidR="00B65237" w:rsidRPr="00534791">
              <w:rPr>
                <w:rStyle w:val="Hyperlink"/>
                <w:noProof/>
                <w:lang w:bidi="en-US"/>
              </w:rPr>
              <w:t>Behaviourism</w:t>
            </w:r>
            <w:r w:rsidR="00B65237">
              <w:rPr>
                <w:noProof/>
                <w:webHidden/>
              </w:rPr>
              <w:tab/>
            </w:r>
            <w:r w:rsidR="00B65237">
              <w:rPr>
                <w:noProof/>
                <w:webHidden/>
              </w:rPr>
              <w:fldChar w:fldCharType="begin"/>
            </w:r>
            <w:r w:rsidR="00B65237">
              <w:rPr>
                <w:noProof/>
                <w:webHidden/>
              </w:rPr>
              <w:instrText xml:space="preserve"> PAGEREF _Toc430900484 \h </w:instrText>
            </w:r>
            <w:r w:rsidR="00B65237">
              <w:rPr>
                <w:noProof/>
                <w:webHidden/>
              </w:rPr>
            </w:r>
            <w:r w:rsidR="00B65237">
              <w:rPr>
                <w:noProof/>
                <w:webHidden/>
              </w:rPr>
              <w:fldChar w:fldCharType="separate"/>
            </w:r>
            <w:r w:rsidR="00B65237">
              <w:rPr>
                <w:noProof/>
                <w:webHidden/>
              </w:rPr>
              <w:t>5</w:t>
            </w:r>
            <w:r w:rsidR="00B65237">
              <w:rPr>
                <w:noProof/>
                <w:webHidden/>
              </w:rPr>
              <w:fldChar w:fldCharType="end"/>
            </w:r>
          </w:hyperlink>
        </w:p>
        <w:p w14:paraId="4C819B2A"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85" w:history="1">
            <w:r w:rsidR="00B65237" w:rsidRPr="00534791">
              <w:rPr>
                <w:rStyle w:val="Hyperlink"/>
                <w:noProof/>
                <w:lang w:bidi="en-US"/>
              </w:rPr>
              <w:t>1.4.</w:t>
            </w:r>
            <w:r w:rsidR="00B65237">
              <w:rPr>
                <w:rFonts w:eastAsiaTheme="minorEastAsia"/>
                <w:b w:val="0"/>
                <w:caps w:val="0"/>
                <w:noProof/>
                <w:sz w:val="24"/>
                <w:szCs w:val="24"/>
                <w:lang w:val="en-US"/>
              </w:rPr>
              <w:tab/>
            </w:r>
            <w:r w:rsidR="00B65237" w:rsidRPr="00534791">
              <w:rPr>
                <w:rStyle w:val="Hyperlink"/>
                <w:noProof/>
                <w:lang w:bidi="en-US"/>
              </w:rPr>
              <w:t>Constructivism</w:t>
            </w:r>
            <w:r w:rsidR="00B65237">
              <w:rPr>
                <w:noProof/>
                <w:webHidden/>
              </w:rPr>
              <w:tab/>
            </w:r>
            <w:r w:rsidR="00B65237">
              <w:rPr>
                <w:noProof/>
                <w:webHidden/>
              </w:rPr>
              <w:fldChar w:fldCharType="begin"/>
            </w:r>
            <w:r w:rsidR="00B65237">
              <w:rPr>
                <w:noProof/>
                <w:webHidden/>
              </w:rPr>
              <w:instrText xml:space="preserve"> PAGEREF _Toc430900485 \h </w:instrText>
            </w:r>
            <w:r w:rsidR="00B65237">
              <w:rPr>
                <w:noProof/>
                <w:webHidden/>
              </w:rPr>
            </w:r>
            <w:r w:rsidR="00B65237">
              <w:rPr>
                <w:noProof/>
                <w:webHidden/>
              </w:rPr>
              <w:fldChar w:fldCharType="separate"/>
            </w:r>
            <w:r w:rsidR="00B65237">
              <w:rPr>
                <w:noProof/>
                <w:webHidden/>
              </w:rPr>
              <w:t>5</w:t>
            </w:r>
            <w:r w:rsidR="00B65237">
              <w:rPr>
                <w:noProof/>
                <w:webHidden/>
              </w:rPr>
              <w:fldChar w:fldCharType="end"/>
            </w:r>
          </w:hyperlink>
        </w:p>
        <w:p w14:paraId="232A7EE3"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86" w:history="1">
            <w:r w:rsidR="00B65237" w:rsidRPr="00534791">
              <w:rPr>
                <w:rStyle w:val="Hyperlink"/>
                <w:noProof/>
                <w:lang w:bidi="en-US"/>
              </w:rPr>
              <w:t>1.5.</w:t>
            </w:r>
            <w:r w:rsidR="00B65237">
              <w:rPr>
                <w:rFonts w:eastAsiaTheme="minorEastAsia"/>
                <w:b w:val="0"/>
                <w:caps w:val="0"/>
                <w:noProof/>
                <w:sz w:val="24"/>
                <w:szCs w:val="24"/>
                <w:lang w:val="en-US"/>
              </w:rPr>
              <w:tab/>
            </w:r>
            <w:r w:rsidR="00B65237" w:rsidRPr="00534791">
              <w:rPr>
                <w:rStyle w:val="Hyperlink"/>
                <w:noProof/>
                <w:lang w:bidi="en-US"/>
              </w:rPr>
              <w:t>Cosmopolitanism</w:t>
            </w:r>
            <w:r w:rsidR="00B65237">
              <w:rPr>
                <w:noProof/>
                <w:webHidden/>
              </w:rPr>
              <w:tab/>
            </w:r>
            <w:r w:rsidR="00B65237">
              <w:rPr>
                <w:noProof/>
                <w:webHidden/>
              </w:rPr>
              <w:fldChar w:fldCharType="begin"/>
            </w:r>
            <w:r w:rsidR="00B65237">
              <w:rPr>
                <w:noProof/>
                <w:webHidden/>
              </w:rPr>
              <w:instrText xml:space="preserve"> PAGEREF _Toc430900486 \h </w:instrText>
            </w:r>
            <w:r w:rsidR="00B65237">
              <w:rPr>
                <w:noProof/>
                <w:webHidden/>
              </w:rPr>
            </w:r>
            <w:r w:rsidR="00B65237">
              <w:rPr>
                <w:noProof/>
                <w:webHidden/>
              </w:rPr>
              <w:fldChar w:fldCharType="separate"/>
            </w:r>
            <w:r w:rsidR="00B65237">
              <w:rPr>
                <w:noProof/>
                <w:webHidden/>
              </w:rPr>
              <w:t>6</w:t>
            </w:r>
            <w:r w:rsidR="00B65237">
              <w:rPr>
                <w:noProof/>
                <w:webHidden/>
              </w:rPr>
              <w:fldChar w:fldCharType="end"/>
            </w:r>
          </w:hyperlink>
        </w:p>
        <w:p w14:paraId="3052A222"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87" w:history="1">
            <w:r w:rsidR="00B65237" w:rsidRPr="00534791">
              <w:rPr>
                <w:rStyle w:val="Hyperlink"/>
                <w:noProof/>
                <w:lang w:bidi="en-US"/>
              </w:rPr>
              <w:t>1.6.</w:t>
            </w:r>
            <w:r w:rsidR="00B65237">
              <w:rPr>
                <w:rFonts w:eastAsiaTheme="minorEastAsia"/>
                <w:b w:val="0"/>
                <w:caps w:val="0"/>
                <w:noProof/>
                <w:sz w:val="24"/>
                <w:szCs w:val="24"/>
                <w:lang w:val="en-US"/>
              </w:rPr>
              <w:tab/>
            </w:r>
            <w:r w:rsidR="00B65237" w:rsidRPr="00534791">
              <w:rPr>
                <w:rStyle w:val="Hyperlink"/>
                <w:noProof/>
                <w:lang w:bidi="en-US"/>
              </w:rPr>
              <w:t>Enactivism</w:t>
            </w:r>
            <w:r w:rsidR="00B65237">
              <w:rPr>
                <w:noProof/>
                <w:webHidden/>
              </w:rPr>
              <w:tab/>
            </w:r>
            <w:r w:rsidR="00B65237">
              <w:rPr>
                <w:noProof/>
                <w:webHidden/>
              </w:rPr>
              <w:fldChar w:fldCharType="begin"/>
            </w:r>
            <w:r w:rsidR="00B65237">
              <w:rPr>
                <w:noProof/>
                <w:webHidden/>
              </w:rPr>
              <w:instrText xml:space="preserve"> PAGEREF _Toc430900487 \h </w:instrText>
            </w:r>
            <w:r w:rsidR="00B65237">
              <w:rPr>
                <w:noProof/>
                <w:webHidden/>
              </w:rPr>
            </w:r>
            <w:r w:rsidR="00B65237">
              <w:rPr>
                <w:noProof/>
                <w:webHidden/>
              </w:rPr>
              <w:fldChar w:fldCharType="separate"/>
            </w:r>
            <w:r w:rsidR="00B65237">
              <w:rPr>
                <w:noProof/>
                <w:webHidden/>
              </w:rPr>
              <w:t>6</w:t>
            </w:r>
            <w:r w:rsidR="00B65237">
              <w:rPr>
                <w:noProof/>
                <w:webHidden/>
              </w:rPr>
              <w:fldChar w:fldCharType="end"/>
            </w:r>
          </w:hyperlink>
        </w:p>
        <w:p w14:paraId="6D22B9C1"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88" w:history="1">
            <w:r w:rsidR="00B65237" w:rsidRPr="00534791">
              <w:rPr>
                <w:rStyle w:val="Hyperlink"/>
                <w:noProof/>
                <w:lang w:bidi="en-US"/>
              </w:rPr>
              <w:t>1.7.</w:t>
            </w:r>
            <w:r w:rsidR="00B65237">
              <w:rPr>
                <w:rFonts w:eastAsiaTheme="minorEastAsia"/>
                <w:b w:val="0"/>
                <w:caps w:val="0"/>
                <w:noProof/>
                <w:sz w:val="24"/>
                <w:szCs w:val="24"/>
                <w:lang w:val="en-US"/>
              </w:rPr>
              <w:tab/>
            </w:r>
            <w:r w:rsidR="00B65237" w:rsidRPr="00534791">
              <w:rPr>
                <w:rStyle w:val="Hyperlink"/>
                <w:noProof/>
                <w:lang w:bidi="en-US"/>
              </w:rPr>
              <w:t>Summary of Learning Theories and links to student engagement</w:t>
            </w:r>
            <w:r w:rsidR="00B65237">
              <w:rPr>
                <w:noProof/>
                <w:webHidden/>
              </w:rPr>
              <w:tab/>
            </w:r>
            <w:r w:rsidR="00B65237">
              <w:rPr>
                <w:noProof/>
                <w:webHidden/>
              </w:rPr>
              <w:fldChar w:fldCharType="begin"/>
            </w:r>
            <w:r w:rsidR="00B65237">
              <w:rPr>
                <w:noProof/>
                <w:webHidden/>
              </w:rPr>
              <w:instrText xml:space="preserve"> PAGEREF _Toc430900488 \h </w:instrText>
            </w:r>
            <w:r w:rsidR="00B65237">
              <w:rPr>
                <w:noProof/>
                <w:webHidden/>
              </w:rPr>
            </w:r>
            <w:r w:rsidR="00B65237">
              <w:rPr>
                <w:noProof/>
                <w:webHidden/>
              </w:rPr>
              <w:fldChar w:fldCharType="separate"/>
            </w:r>
            <w:r w:rsidR="00B65237">
              <w:rPr>
                <w:noProof/>
                <w:webHidden/>
              </w:rPr>
              <w:t>7</w:t>
            </w:r>
            <w:r w:rsidR="00B65237">
              <w:rPr>
                <w:noProof/>
                <w:webHidden/>
              </w:rPr>
              <w:fldChar w:fldCharType="end"/>
            </w:r>
          </w:hyperlink>
        </w:p>
        <w:p w14:paraId="683D2549" w14:textId="77777777" w:rsidR="00B65237" w:rsidRDefault="00224D65">
          <w:pPr>
            <w:pStyle w:val="TOC1"/>
            <w:tabs>
              <w:tab w:val="left" w:pos="480"/>
              <w:tab w:val="right" w:leader="dot" w:pos="9010"/>
            </w:tabs>
            <w:rPr>
              <w:rFonts w:eastAsiaTheme="minorEastAsia"/>
              <w:b w:val="0"/>
              <w:caps w:val="0"/>
              <w:noProof/>
              <w:sz w:val="24"/>
              <w:szCs w:val="24"/>
              <w:lang w:val="en-US"/>
            </w:rPr>
          </w:pPr>
          <w:hyperlink w:anchor="_Toc430900489" w:history="1">
            <w:r w:rsidR="00B65237" w:rsidRPr="00534791">
              <w:rPr>
                <w:rStyle w:val="Hyperlink"/>
                <w:noProof/>
                <w:lang w:bidi="en-US"/>
              </w:rPr>
              <w:t>2.</w:t>
            </w:r>
            <w:r w:rsidR="00B65237">
              <w:rPr>
                <w:rFonts w:eastAsiaTheme="minorEastAsia"/>
                <w:b w:val="0"/>
                <w:caps w:val="0"/>
                <w:noProof/>
                <w:sz w:val="24"/>
                <w:szCs w:val="24"/>
                <w:lang w:val="en-US"/>
              </w:rPr>
              <w:tab/>
            </w:r>
            <w:r w:rsidR="00B65237" w:rsidRPr="00534791">
              <w:rPr>
                <w:rStyle w:val="Hyperlink"/>
                <w:noProof/>
                <w:lang w:bidi="en-US"/>
              </w:rPr>
              <w:t>Critical Reflection on Practices</w:t>
            </w:r>
            <w:r w:rsidR="00B65237">
              <w:rPr>
                <w:noProof/>
                <w:webHidden/>
              </w:rPr>
              <w:tab/>
            </w:r>
            <w:r w:rsidR="00B65237">
              <w:rPr>
                <w:noProof/>
                <w:webHidden/>
              </w:rPr>
              <w:fldChar w:fldCharType="begin"/>
            </w:r>
            <w:r w:rsidR="00B65237">
              <w:rPr>
                <w:noProof/>
                <w:webHidden/>
              </w:rPr>
              <w:instrText xml:space="preserve"> PAGEREF _Toc430900489 \h </w:instrText>
            </w:r>
            <w:r w:rsidR="00B65237">
              <w:rPr>
                <w:noProof/>
                <w:webHidden/>
              </w:rPr>
            </w:r>
            <w:r w:rsidR="00B65237">
              <w:rPr>
                <w:noProof/>
                <w:webHidden/>
              </w:rPr>
              <w:fldChar w:fldCharType="separate"/>
            </w:r>
            <w:r w:rsidR="00B65237">
              <w:rPr>
                <w:noProof/>
                <w:webHidden/>
              </w:rPr>
              <w:t>9</w:t>
            </w:r>
            <w:r w:rsidR="00B65237">
              <w:rPr>
                <w:noProof/>
                <w:webHidden/>
              </w:rPr>
              <w:fldChar w:fldCharType="end"/>
            </w:r>
          </w:hyperlink>
        </w:p>
        <w:p w14:paraId="0CCC4B3F"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90" w:history="1">
            <w:r w:rsidR="00B65237" w:rsidRPr="00534791">
              <w:rPr>
                <w:rStyle w:val="Hyperlink"/>
                <w:noProof/>
                <w:lang w:bidi="en-US"/>
              </w:rPr>
              <w:t>2.1.</w:t>
            </w:r>
            <w:r w:rsidR="00B65237">
              <w:rPr>
                <w:rFonts w:eastAsiaTheme="minorEastAsia"/>
                <w:b w:val="0"/>
                <w:caps w:val="0"/>
                <w:noProof/>
                <w:sz w:val="24"/>
                <w:szCs w:val="24"/>
                <w:lang w:val="en-US"/>
              </w:rPr>
              <w:tab/>
            </w:r>
            <w:r w:rsidR="00B65237" w:rsidRPr="00534791">
              <w:rPr>
                <w:rStyle w:val="Hyperlink"/>
                <w:noProof/>
                <w:lang w:bidi="en-US"/>
              </w:rPr>
              <w:t>Context</w:t>
            </w:r>
            <w:r w:rsidR="00B65237">
              <w:rPr>
                <w:noProof/>
                <w:webHidden/>
              </w:rPr>
              <w:tab/>
            </w:r>
            <w:r w:rsidR="00B65237">
              <w:rPr>
                <w:noProof/>
                <w:webHidden/>
              </w:rPr>
              <w:fldChar w:fldCharType="begin"/>
            </w:r>
            <w:r w:rsidR="00B65237">
              <w:rPr>
                <w:noProof/>
                <w:webHidden/>
              </w:rPr>
              <w:instrText xml:space="preserve"> PAGEREF _Toc430900490 \h </w:instrText>
            </w:r>
            <w:r w:rsidR="00B65237">
              <w:rPr>
                <w:noProof/>
                <w:webHidden/>
              </w:rPr>
            </w:r>
            <w:r w:rsidR="00B65237">
              <w:rPr>
                <w:noProof/>
                <w:webHidden/>
              </w:rPr>
              <w:fldChar w:fldCharType="separate"/>
            </w:r>
            <w:r w:rsidR="00B65237">
              <w:rPr>
                <w:noProof/>
                <w:webHidden/>
              </w:rPr>
              <w:t>9</w:t>
            </w:r>
            <w:r w:rsidR="00B65237">
              <w:rPr>
                <w:noProof/>
                <w:webHidden/>
              </w:rPr>
              <w:fldChar w:fldCharType="end"/>
            </w:r>
          </w:hyperlink>
        </w:p>
        <w:p w14:paraId="146F6EAE" w14:textId="77777777" w:rsidR="00B65237" w:rsidRDefault="00224D65">
          <w:pPr>
            <w:pStyle w:val="TOC1"/>
            <w:tabs>
              <w:tab w:val="left" w:pos="720"/>
              <w:tab w:val="right" w:leader="dot" w:pos="9010"/>
            </w:tabs>
            <w:rPr>
              <w:rFonts w:eastAsiaTheme="minorEastAsia"/>
              <w:b w:val="0"/>
              <w:caps w:val="0"/>
              <w:noProof/>
              <w:sz w:val="24"/>
              <w:szCs w:val="24"/>
              <w:lang w:val="en-US"/>
            </w:rPr>
          </w:pPr>
          <w:hyperlink w:anchor="_Toc430900491" w:history="1">
            <w:r w:rsidR="00B65237" w:rsidRPr="00534791">
              <w:rPr>
                <w:rStyle w:val="Hyperlink"/>
                <w:noProof/>
                <w:lang w:bidi="en-US"/>
              </w:rPr>
              <w:t>2.2.</w:t>
            </w:r>
            <w:r w:rsidR="00B65237">
              <w:rPr>
                <w:rFonts w:eastAsiaTheme="minorEastAsia"/>
                <w:b w:val="0"/>
                <w:caps w:val="0"/>
                <w:noProof/>
                <w:sz w:val="24"/>
                <w:szCs w:val="24"/>
                <w:lang w:val="en-US"/>
              </w:rPr>
              <w:tab/>
            </w:r>
            <w:r w:rsidR="00B65237" w:rsidRPr="00534791">
              <w:rPr>
                <w:rStyle w:val="Hyperlink"/>
                <w:noProof/>
                <w:lang w:bidi="en-US"/>
              </w:rPr>
              <w:t>Reflection on current practices</w:t>
            </w:r>
            <w:r w:rsidR="00B65237">
              <w:rPr>
                <w:noProof/>
                <w:webHidden/>
              </w:rPr>
              <w:tab/>
            </w:r>
            <w:r w:rsidR="00B65237">
              <w:rPr>
                <w:noProof/>
                <w:webHidden/>
              </w:rPr>
              <w:fldChar w:fldCharType="begin"/>
            </w:r>
            <w:r w:rsidR="00B65237">
              <w:rPr>
                <w:noProof/>
                <w:webHidden/>
              </w:rPr>
              <w:instrText xml:space="preserve"> PAGEREF _Toc430900491 \h </w:instrText>
            </w:r>
            <w:r w:rsidR="00B65237">
              <w:rPr>
                <w:noProof/>
                <w:webHidden/>
              </w:rPr>
            </w:r>
            <w:r w:rsidR="00B65237">
              <w:rPr>
                <w:noProof/>
                <w:webHidden/>
              </w:rPr>
              <w:fldChar w:fldCharType="separate"/>
            </w:r>
            <w:r w:rsidR="00B65237">
              <w:rPr>
                <w:noProof/>
                <w:webHidden/>
              </w:rPr>
              <w:t>9</w:t>
            </w:r>
            <w:r w:rsidR="00B65237">
              <w:rPr>
                <w:noProof/>
                <w:webHidden/>
              </w:rPr>
              <w:fldChar w:fldCharType="end"/>
            </w:r>
          </w:hyperlink>
        </w:p>
        <w:p w14:paraId="11F5C4EF" w14:textId="77777777" w:rsidR="00B65237" w:rsidRDefault="00224D65">
          <w:pPr>
            <w:pStyle w:val="TOC1"/>
            <w:tabs>
              <w:tab w:val="left" w:pos="480"/>
              <w:tab w:val="right" w:leader="dot" w:pos="9010"/>
            </w:tabs>
            <w:rPr>
              <w:rFonts w:eastAsiaTheme="minorEastAsia"/>
              <w:b w:val="0"/>
              <w:caps w:val="0"/>
              <w:noProof/>
              <w:sz w:val="24"/>
              <w:szCs w:val="24"/>
              <w:lang w:val="en-US"/>
            </w:rPr>
          </w:pPr>
          <w:hyperlink w:anchor="_Toc430900492" w:history="1">
            <w:r w:rsidR="00B65237" w:rsidRPr="00534791">
              <w:rPr>
                <w:rStyle w:val="Hyperlink"/>
                <w:noProof/>
                <w:lang w:bidi="en-US"/>
              </w:rPr>
              <w:t>3.</w:t>
            </w:r>
            <w:r w:rsidR="00B65237">
              <w:rPr>
                <w:rFonts w:eastAsiaTheme="minorEastAsia"/>
                <w:b w:val="0"/>
                <w:caps w:val="0"/>
                <w:noProof/>
                <w:sz w:val="24"/>
                <w:szCs w:val="24"/>
                <w:lang w:val="en-US"/>
              </w:rPr>
              <w:tab/>
            </w:r>
            <w:r w:rsidR="00B65237" w:rsidRPr="00534791">
              <w:rPr>
                <w:rStyle w:val="Hyperlink"/>
                <w:noProof/>
                <w:lang w:bidi="en-US"/>
              </w:rPr>
              <w:t>Conclusion</w:t>
            </w:r>
            <w:r w:rsidR="00B65237">
              <w:rPr>
                <w:noProof/>
                <w:webHidden/>
              </w:rPr>
              <w:tab/>
            </w:r>
            <w:r w:rsidR="00B65237">
              <w:rPr>
                <w:noProof/>
                <w:webHidden/>
              </w:rPr>
              <w:fldChar w:fldCharType="begin"/>
            </w:r>
            <w:r w:rsidR="00B65237">
              <w:rPr>
                <w:noProof/>
                <w:webHidden/>
              </w:rPr>
              <w:instrText xml:space="preserve"> PAGEREF _Toc430900492 \h </w:instrText>
            </w:r>
            <w:r w:rsidR="00B65237">
              <w:rPr>
                <w:noProof/>
                <w:webHidden/>
              </w:rPr>
            </w:r>
            <w:r w:rsidR="00B65237">
              <w:rPr>
                <w:noProof/>
                <w:webHidden/>
              </w:rPr>
              <w:fldChar w:fldCharType="separate"/>
            </w:r>
            <w:r w:rsidR="00B65237">
              <w:rPr>
                <w:noProof/>
                <w:webHidden/>
              </w:rPr>
              <w:t>13</w:t>
            </w:r>
            <w:r w:rsidR="00B65237">
              <w:rPr>
                <w:noProof/>
                <w:webHidden/>
              </w:rPr>
              <w:fldChar w:fldCharType="end"/>
            </w:r>
          </w:hyperlink>
        </w:p>
        <w:p w14:paraId="1C90AF63" w14:textId="77777777" w:rsidR="00B65237" w:rsidRDefault="00224D65">
          <w:pPr>
            <w:pStyle w:val="TOC1"/>
            <w:tabs>
              <w:tab w:val="right" w:leader="dot" w:pos="9010"/>
            </w:tabs>
            <w:rPr>
              <w:rFonts w:eastAsiaTheme="minorEastAsia"/>
              <w:b w:val="0"/>
              <w:caps w:val="0"/>
              <w:noProof/>
              <w:sz w:val="24"/>
              <w:szCs w:val="24"/>
              <w:lang w:val="en-US"/>
            </w:rPr>
          </w:pPr>
          <w:hyperlink w:anchor="_Toc430900493" w:history="1">
            <w:r w:rsidR="00B65237" w:rsidRPr="00534791">
              <w:rPr>
                <w:rStyle w:val="Hyperlink"/>
                <w:noProof/>
                <w:lang w:bidi="en-US"/>
              </w:rPr>
              <w:t>Bibliography</w:t>
            </w:r>
            <w:r w:rsidR="00B65237">
              <w:rPr>
                <w:noProof/>
                <w:webHidden/>
              </w:rPr>
              <w:tab/>
            </w:r>
            <w:r w:rsidR="00B65237">
              <w:rPr>
                <w:noProof/>
                <w:webHidden/>
              </w:rPr>
              <w:fldChar w:fldCharType="begin"/>
            </w:r>
            <w:r w:rsidR="00B65237">
              <w:rPr>
                <w:noProof/>
                <w:webHidden/>
              </w:rPr>
              <w:instrText xml:space="preserve"> PAGEREF _Toc430900493 \h </w:instrText>
            </w:r>
            <w:r w:rsidR="00B65237">
              <w:rPr>
                <w:noProof/>
                <w:webHidden/>
              </w:rPr>
            </w:r>
            <w:r w:rsidR="00B65237">
              <w:rPr>
                <w:noProof/>
                <w:webHidden/>
              </w:rPr>
              <w:fldChar w:fldCharType="separate"/>
            </w:r>
            <w:r w:rsidR="00B65237">
              <w:rPr>
                <w:noProof/>
                <w:webHidden/>
              </w:rPr>
              <w:t>14</w:t>
            </w:r>
            <w:r w:rsidR="00B65237">
              <w:rPr>
                <w:noProof/>
                <w:webHidden/>
              </w:rPr>
              <w:fldChar w:fldCharType="end"/>
            </w:r>
          </w:hyperlink>
        </w:p>
        <w:p w14:paraId="75A52308" w14:textId="77777777" w:rsidR="00B65237" w:rsidRDefault="00224D65">
          <w:pPr>
            <w:pStyle w:val="TOC1"/>
            <w:tabs>
              <w:tab w:val="right" w:leader="dot" w:pos="9010"/>
            </w:tabs>
            <w:rPr>
              <w:rFonts w:eastAsiaTheme="minorEastAsia"/>
              <w:b w:val="0"/>
              <w:caps w:val="0"/>
              <w:noProof/>
              <w:sz w:val="24"/>
              <w:szCs w:val="24"/>
              <w:lang w:val="en-US"/>
            </w:rPr>
          </w:pPr>
          <w:hyperlink w:anchor="_Toc430900494" w:history="1">
            <w:r w:rsidR="00B65237" w:rsidRPr="00534791">
              <w:rPr>
                <w:rStyle w:val="Hyperlink"/>
                <w:noProof/>
                <w:lang w:bidi="en-US"/>
              </w:rPr>
              <w:t>Appendix A</w:t>
            </w:r>
            <w:r w:rsidR="00B65237">
              <w:rPr>
                <w:noProof/>
                <w:webHidden/>
              </w:rPr>
              <w:tab/>
            </w:r>
            <w:r w:rsidR="00B65237">
              <w:rPr>
                <w:noProof/>
                <w:webHidden/>
              </w:rPr>
              <w:fldChar w:fldCharType="begin"/>
            </w:r>
            <w:r w:rsidR="00B65237">
              <w:rPr>
                <w:noProof/>
                <w:webHidden/>
              </w:rPr>
              <w:instrText xml:space="preserve"> PAGEREF _Toc430900494 \h </w:instrText>
            </w:r>
            <w:r w:rsidR="00B65237">
              <w:rPr>
                <w:noProof/>
                <w:webHidden/>
              </w:rPr>
            </w:r>
            <w:r w:rsidR="00B65237">
              <w:rPr>
                <w:noProof/>
                <w:webHidden/>
              </w:rPr>
              <w:fldChar w:fldCharType="separate"/>
            </w:r>
            <w:r w:rsidR="00B65237">
              <w:rPr>
                <w:noProof/>
                <w:webHidden/>
              </w:rPr>
              <w:t>16</w:t>
            </w:r>
            <w:r w:rsidR="00B65237">
              <w:rPr>
                <w:noProof/>
                <w:webHidden/>
              </w:rPr>
              <w:fldChar w:fldCharType="end"/>
            </w:r>
          </w:hyperlink>
        </w:p>
        <w:p w14:paraId="0B479D1D" w14:textId="3FB22797" w:rsidR="00B65237" w:rsidRDefault="00B65237">
          <w:r>
            <w:rPr>
              <w:b/>
              <w:bCs/>
              <w:noProof/>
            </w:rPr>
            <w:fldChar w:fldCharType="end"/>
          </w:r>
        </w:p>
      </w:sdtContent>
    </w:sdt>
    <w:p w14:paraId="4602B9EC" w14:textId="77777777" w:rsidR="006841C6" w:rsidRDefault="006841C6" w:rsidP="00114276"/>
    <w:p w14:paraId="0719ADE4" w14:textId="6B89E3C3" w:rsidR="00114276" w:rsidRDefault="00114276">
      <w:r>
        <w:br w:type="page"/>
      </w:r>
    </w:p>
    <w:p w14:paraId="564DEC66" w14:textId="77777777" w:rsidR="00114276" w:rsidRPr="000B6B5E" w:rsidRDefault="00114276" w:rsidP="00276655">
      <w:pPr>
        <w:pStyle w:val="Heading1"/>
        <w:numPr>
          <w:ilvl w:val="0"/>
          <w:numId w:val="10"/>
        </w:numPr>
      </w:pPr>
      <w:bookmarkStart w:id="1" w:name="_Toc430900481"/>
      <w:r w:rsidRPr="000B6B5E">
        <w:t>Introduction</w:t>
      </w:r>
      <w:bookmarkEnd w:id="1"/>
    </w:p>
    <w:p w14:paraId="245C4984" w14:textId="50FD66FC" w:rsidR="0078161F" w:rsidRDefault="005C066F" w:rsidP="0075793F">
      <w:pPr>
        <w:pStyle w:val="ListParagraph"/>
        <w:spacing w:before="120" w:after="120" w:line="360" w:lineRule="auto"/>
      </w:pPr>
      <w:r>
        <w:t xml:space="preserve">The art </w:t>
      </w:r>
      <w:r w:rsidR="00FE1303">
        <w:t xml:space="preserve">and purpose </w:t>
      </w:r>
      <w:r>
        <w:t xml:space="preserve">of authentic teaching is in </w:t>
      </w:r>
      <w:r w:rsidR="000B4B7D">
        <w:t xml:space="preserve">being able to </w:t>
      </w:r>
      <w:r w:rsidR="00DD64CB">
        <w:t>engag</w:t>
      </w:r>
      <w:r w:rsidR="000B4B7D">
        <w:t>e</w:t>
      </w:r>
      <w:r w:rsidR="00DD64CB">
        <w:t xml:space="preserve"> students</w:t>
      </w:r>
      <w:r w:rsidR="005B480F">
        <w:t xml:space="preserve"> authentically</w:t>
      </w:r>
      <w:r w:rsidR="00DD64CB">
        <w:t xml:space="preserve">.  </w:t>
      </w:r>
      <w:r w:rsidR="000B4B7D">
        <w:t xml:space="preserve">Students that are </w:t>
      </w:r>
      <w:r w:rsidR="005B480F">
        <w:t xml:space="preserve">authentically </w:t>
      </w:r>
      <w:r w:rsidR="000B4B7D">
        <w:t>engaged are students that</w:t>
      </w:r>
      <w:r w:rsidR="0078161F">
        <w:t xml:space="preserve"> take responsibility for their own learning, </w:t>
      </w:r>
      <w:r w:rsidR="005B480F">
        <w:t xml:space="preserve">retain and can apply knowledge in other contexts, </w:t>
      </w:r>
      <w:r w:rsidR="0078161F">
        <w:t>and care more about their own educational and cognitive development than about the formal outcome</w:t>
      </w:r>
      <w:r w:rsidR="0084330E">
        <w:t>s</w:t>
      </w:r>
      <w:r w:rsidR="0078161F">
        <w:t>, or grades, that are achieved</w:t>
      </w:r>
      <w:sdt>
        <w:sdtPr>
          <w:id w:val="-676184062"/>
          <w:citation/>
        </w:sdtPr>
        <w:sdtEndPr/>
        <w:sdtContent>
          <w:r w:rsidR="0078161F">
            <w:fldChar w:fldCharType="begin"/>
          </w:r>
          <w:r w:rsidR="0078161F">
            <w:instrText xml:space="preserve"> CITATION And14 \l 3081 </w:instrText>
          </w:r>
          <w:r w:rsidR="0078161F">
            <w:fldChar w:fldCharType="separate"/>
          </w:r>
          <w:r w:rsidR="008D0FE2">
            <w:rPr>
              <w:noProof/>
            </w:rPr>
            <w:t xml:space="preserve"> (Andrews, 2014)</w:t>
          </w:r>
          <w:r w:rsidR="0078161F">
            <w:fldChar w:fldCharType="end"/>
          </w:r>
        </w:sdtContent>
      </w:sdt>
      <w:r w:rsidR="0078161F">
        <w:t>.</w:t>
      </w:r>
    </w:p>
    <w:p w14:paraId="09C1EE69" w14:textId="00EEF189" w:rsidR="005C066F" w:rsidRDefault="00C0424C" w:rsidP="0075793F">
      <w:pPr>
        <w:pStyle w:val="ListParagraph"/>
        <w:spacing w:before="120" w:after="120" w:line="360" w:lineRule="auto"/>
      </w:pPr>
      <w:r>
        <w:t>In order to e</w:t>
      </w:r>
      <w:r w:rsidR="00DD64CB">
        <w:t>ngag</w:t>
      </w:r>
      <w:r>
        <w:t>e</w:t>
      </w:r>
      <w:r w:rsidR="00DD64CB">
        <w:t xml:space="preserve"> students</w:t>
      </w:r>
      <w:r>
        <w:t>, we must be able</w:t>
      </w:r>
      <w:r w:rsidR="00DD64CB">
        <w:t xml:space="preserve"> to </w:t>
      </w:r>
      <w:r w:rsidR="005C066F">
        <w:t xml:space="preserve">understand </w:t>
      </w:r>
      <w:r w:rsidR="00DD64CB">
        <w:t xml:space="preserve">our </w:t>
      </w:r>
      <w:r w:rsidR="005C066F">
        <w:t>students, a</w:t>
      </w:r>
      <w:r w:rsidR="00DD64CB">
        <w:t>nd be</w:t>
      </w:r>
      <w:r w:rsidR="0084330E">
        <w:t xml:space="preserve"> able to select</w:t>
      </w:r>
      <w:r w:rsidR="00DD64CB">
        <w:t xml:space="preserve"> appropriate instructional technique</w:t>
      </w:r>
      <w:r w:rsidR="0084330E">
        <w:t>s</w:t>
      </w:r>
      <w:r w:rsidR="00DD64CB">
        <w:t xml:space="preserve"> </w:t>
      </w:r>
      <w:r w:rsidR="00B92565">
        <w:t>for each</w:t>
      </w:r>
      <w:r w:rsidR="00DD64CB">
        <w:t xml:space="preserve"> particular context.  A solid understanding of the links between Learning Theory (how students learn) and Instructional Theory</w:t>
      </w:r>
      <w:r>
        <w:t xml:space="preserve"> (how to help students learn)</w:t>
      </w:r>
      <w:sdt>
        <w:sdtPr>
          <w:id w:val="1275370776"/>
          <w:citation/>
        </w:sdtPr>
        <w:sdtEndPr/>
        <w:sdtContent>
          <w:r>
            <w:fldChar w:fldCharType="begin"/>
          </w:r>
          <w:r w:rsidR="00FE1303">
            <w:instrText xml:space="preserve">CITATION Sch08 \p 76 \l 3081 </w:instrText>
          </w:r>
          <w:r>
            <w:fldChar w:fldCharType="separate"/>
          </w:r>
          <w:r w:rsidR="008D0FE2">
            <w:rPr>
              <w:noProof/>
            </w:rPr>
            <w:t xml:space="preserve"> (Schuh &amp; Barab, 2008, p. 76)</w:t>
          </w:r>
          <w:r>
            <w:fldChar w:fldCharType="end"/>
          </w:r>
        </w:sdtContent>
      </w:sdt>
      <w:r w:rsidR="004065FF">
        <w:t>, which informs instructional technique</w:t>
      </w:r>
      <w:r w:rsidR="00DD64CB">
        <w:t xml:space="preserve"> is critical to this process.</w:t>
      </w:r>
      <w:r w:rsidR="00FE1303">
        <w:t xml:space="preserve">  In this paper, Authenticity and Authentic Teaching will be defined and discussed, along with a number of different Learning Theories that can be selected</w:t>
      </w:r>
      <w:r w:rsidR="0075793F">
        <w:t xml:space="preserve"> from</w:t>
      </w:r>
      <w:r w:rsidR="00FE1303">
        <w:t>, in order that student engagement can be improved</w:t>
      </w:r>
      <w:r w:rsidR="0075793F">
        <w:t xml:space="preserve">.  </w:t>
      </w:r>
      <w:r w:rsidR="0084330E">
        <w:t>In these sections</w:t>
      </w:r>
      <w:r w:rsidR="0075793F">
        <w:t xml:space="preserve">, some of the current literature will be critically reviewed, which will inform some personal reflection of </w:t>
      </w:r>
      <w:r w:rsidR="005B480F">
        <w:t>some of my recent teaching experience</w:t>
      </w:r>
      <w:r w:rsidR="0075793F">
        <w:t>.</w:t>
      </w:r>
    </w:p>
    <w:p w14:paraId="0672E052" w14:textId="0E29D84D" w:rsidR="00114276" w:rsidRPr="000B6B5E" w:rsidRDefault="007445C9" w:rsidP="00276655">
      <w:pPr>
        <w:pStyle w:val="Heading1"/>
        <w:numPr>
          <w:ilvl w:val="1"/>
          <w:numId w:val="11"/>
        </w:numPr>
      </w:pPr>
      <w:bookmarkStart w:id="2" w:name="_Toc430900482"/>
      <w:r>
        <w:t>Critique</w:t>
      </w:r>
      <w:r w:rsidR="00114276" w:rsidRPr="000B6B5E">
        <w:t xml:space="preserve"> of Authenticity &amp; Authentic Learning</w:t>
      </w:r>
      <w:r w:rsidR="00794E80">
        <w:t xml:space="preserve"> in the Literature</w:t>
      </w:r>
      <w:bookmarkEnd w:id="2"/>
    </w:p>
    <w:p w14:paraId="2F16B76D" w14:textId="12ADB50E" w:rsidR="00465114" w:rsidRDefault="00465114" w:rsidP="00276655">
      <w:pPr>
        <w:pStyle w:val="ListParagraph"/>
        <w:spacing w:before="120" w:after="120" w:line="360" w:lineRule="auto"/>
        <w:ind w:left="792"/>
      </w:pPr>
      <w:r>
        <w:t xml:space="preserve">Students, particularly at high school, are very switched on to identifying work that they feel may </w:t>
      </w:r>
      <w:r w:rsidR="008D0FE2">
        <w:t xml:space="preserve">add </w:t>
      </w:r>
      <w:r>
        <w:t>value to their life, an</w:t>
      </w:r>
      <w:r w:rsidR="0084330E">
        <w:t>d work that they see simply as “busy work”</w:t>
      </w:r>
      <w:r>
        <w:t xml:space="preserve">.  Lombardi </w:t>
      </w:r>
      <w:sdt>
        <w:sdtPr>
          <w:id w:val="623663978"/>
          <w:citation/>
        </w:sdtPr>
        <w:sdtEndPr/>
        <w:sdtContent>
          <w:r w:rsidR="00885290">
            <w:fldChar w:fldCharType="begin"/>
          </w:r>
          <w:r w:rsidR="00885290">
            <w:instrText xml:space="preserve">CITATION Lom07 \p 2 \n  \l 3081 </w:instrText>
          </w:r>
          <w:r w:rsidR="00885290">
            <w:fldChar w:fldCharType="separate"/>
          </w:r>
          <w:r w:rsidR="008D0FE2">
            <w:rPr>
              <w:noProof/>
            </w:rPr>
            <w:t>(2007, p. 2)</w:t>
          </w:r>
          <w:r w:rsidR="00885290">
            <w:fldChar w:fldCharType="end"/>
          </w:r>
        </w:sdtContent>
      </w:sdt>
      <w:r w:rsidR="00885290">
        <w:t xml:space="preserve"> </w:t>
      </w:r>
      <w:r>
        <w:t xml:space="preserve">defines Authentic Learning as learning that has characteristics such as being </w:t>
      </w:r>
      <w:r w:rsidR="0084330E">
        <w:t>real-world and</w:t>
      </w:r>
      <w:r>
        <w:t xml:space="preserve"> complex, </w:t>
      </w:r>
      <w:r w:rsidR="0084330E">
        <w:t xml:space="preserve">are </w:t>
      </w:r>
      <w:r w:rsidR="00885290">
        <w:t xml:space="preserve">real life </w:t>
      </w:r>
      <w:r>
        <w:t xml:space="preserve">case </w:t>
      </w:r>
      <w:r w:rsidR="00885290">
        <w:t>studies</w:t>
      </w:r>
      <w:r>
        <w:t xml:space="preserve">, and </w:t>
      </w:r>
      <w:r w:rsidR="0084330E">
        <w:t>require</w:t>
      </w:r>
      <w:r w:rsidR="00885290">
        <w:t xml:space="preserve"> collaborative solutions.  This is similar to Rule’s definition of Authentic Learning as learning that “mimics real world situations”</w:t>
      </w:r>
      <w:sdt>
        <w:sdtPr>
          <w:id w:val="1964149238"/>
          <w:citation/>
        </w:sdtPr>
        <w:sdtEndPr/>
        <w:sdtContent>
          <w:r w:rsidR="00885290">
            <w:fldChar w:fldCharType="begin"/>
          </w:r>
          <w:r w:rsidR="00885290">
            <w:instrText xml:space="preserve">CITATION Rul06 \p 2 \n  \l 3081 </w:instrText>
          </w:r>
          <w:r w:rsidR="00885290">
            <w:fldChar w:fldCharType="separate"/>
          </w:r>
          <w:r w:rsidR="008D0FE2">
            <w:rPr>
              <w:noProof/>
            </w:rPr>
            <w:t xml:space="preserve"> (2006, p. 2)</w:t>
          </w:r>
          <w:r w:rsidR="00885290">
            <w:fldChar w:fldCharType="end"/>
          </w:r>
        </w:sdtContent>
      </w:sdt>
      <w:r w:rsidR="00885290">
        <w:t xml:space="preserve">.  However, in my experience, students and teachers do not always </w:t>
      </w:r>
      <w:r w:rsidR="00416E35">
        <w:t>agree on whether an activity c</w:t>
      </w:r>
      <w:r w:rsidR="002210E9">
        <w:t>ould be described as Authentic.  Peterson discusses Authenticity in the context of music performance, making the point that despite there being numerous paths towards authenticity (eg cultural identity, status), each claim of authenticity is ultimately tested and validated by the audience, not the performer</w:t>
      </w:r>
      <w:sdt>
        <w:sdtPr>
          <w:id w:val="-870226919"/>
          <w:citation/>
        </w:sdtPr>
        <w:sdtEndPr/>
        <w:sdtContent>
          <w:r w:rsidR="008D0FE2">
            <w:fldChar w:fldCharType="begin"/>
          </w:r>
          <w:r w:rsidR="008D0FE2">
            <w:instrText xml:space="preserve"> CITATION Pet05 \l 3081 </w:instrText>
          </w:r>
          <w:r w:rsidR="008D0FE2">
            <w:fldChar w:fldCharType="separate"/>
          </w:r>
          <w:r w:rsidR="008D0FE2">
            <w:rPr>
              <w:noProof/>
            </w:rPr>
            <w:t xml:space="preserve"> (Peterson, 2005)</w:t>
          </w:r>
          <w:r w:rsidR="008D0FE2">
            <w:fldChar w:fldCharType="end"/>
          </w:r>
        </w:sdtContent>
      </w:sdt>
      <w:r w:rsidR="002210E9">
        <w:t xml:space="preserve">.  It follows, then, that as much as we as teachers may design lessons and units to be authentic according to the earlier definitions, their actual authenticity will not be validated until we bring them to the students.  That is, </w:t>
      </w:r>
      <w:r w:rsidR="008D0FE2">
        <w:t xml:space="preserve">a topic or problem </w:t>
      </w:r>
      <w:r w:rsidR="008D0FE2">
        <w:rPr>
          <w:i/>
        </w:rPr>
        <w:t xml:space="preserve">being </w:t>
      </w:r>
      <w:r w:rsidR="008D0FE2">
        <w:t>authentic is not, of itself, sufficient to allow authentic learning to occur, the topic or problem must also be seen to be authentic by our students.</w:t>
      </w:r>
    </w:p>
    <w:p w14:paraId="6A3ED84C" w14:textId="16333A76" w:rsidR="00501DE3" w:rsidRDefault="00501DE3" w:rsidP="00276655">
      <w:pPr>
        <w:pStyle w:val="ListParagraph"/>
        <w:spacing w:before="120" w:after="120" w:line="360" w:lineRule="auto"/>
        <w:ind w:left="792"/>
      </w:pPr>
      <w:r>
        <w:t xml:space="preserve">One of the characteristics of an authentically engaged student, according to Schlechty </w:t>
      </w:r>
      <w:sdt>
        <w:sdtPr>
          <w:id w:val="-1012526299"/>
          <w:citation/>
        </w:sdtPr>
        <w:sdtEndPr/>
        <w:sdtContent>
          <w:r>
            <w:fldChar w:fldCharType="begin"/>
          </w:r>
          <w:r w:rsidR="007445C9">
            <w:instrText xml:space="preserve">CITATION Sch15 \n  \t  \l 3081 </w:instrText>
          </w:r>
          <w:r>
            <w:fldChar w:fldCharType="separate"/>
          </w:r>
          <w:r w:rsidR="007445C9">
            <w:rPr>
              <w:noProof/>
            </w:rPr>
            <w:t>(2011)</w:t>
          </w:r>
          <w:r>
            <w:fldChar w:fldCharType="end"/>
          </w:r>
        </w:sdtContent>
      </w:sdt>
      <w:r>
        <w:t>, is that knowledge is retained</w:t>
      </w:r>
      <w:r w:rsidR="007445C9">
        <w:t xml:space="preserve"> after the fact of assessment for grades</w:t>
      </w:r>
      <w:r>
        <w:t xml:space="preserve">.  </w:t>
      </w:r>
      <w:r w:rsidR="007445C9">
        <w:t>There are students in our classrooms who may outwardly appear to be engaged in school work but work hard primarily to receive good grades, rather than for the learning itself, and soon forget the knowledge they have learnt.  They are described by Schlechty as being Strategically Com</w:t>
      </w:r>
      <w:r w:rsidR="00B65237">
        <w:t>pliant (see Table 1 on p8</w:t>
      </w:r>
      <w:r w:rsidR="007445C9">
        <w:t>), rather than Authentically Engaged</w:t>
      </w:r>
      <w:r>
        <w:t xml:space="preserve"> </w:t>
      </w:r>
      <w:r w:rsidR="007445C9">
        <w:t xml:space="preserve">  This appears to be an important distinction between</w:t>
      </w:r>
      <w:r w:rsidR="0084330E">
        <w:t xml:space="preserve"> these students, and</w:t>
      </w:r>
      <w:r w:rsidR="007445C9">
        <w:t xml:space="preserve"> students who see their work as authentic, in that is has value beyond the classroom.  This characteristic of authentic learning has been identified by others, such as </w:t>
      </w:r>
      <w:r>
        <w:t xml:space="preserve">Machiavelli, </w:t>
      </w:r>
      <w:r w:rsidR="007445C9">
        <w:t xml:space="preserve">who </w:t>
      </w:r>
      <w:r>
        <w:t xml:space="preserve">in the introduction of </w:t>
      </w:r>
      <w:r w:rsidRPr="0064699A">
        <w:rPr>
          <w:i/>
        </w:rPr>
        <w:t>The Prince</w:t>
      </w:r>
      <w:r>
        <w:t>, reflects on his own learning, and quotes Dante, saying</w:t>
      </w:r>
    </w:p>
    <w:p w14:paraId="07FCD36C" w14:textId="77777777" w:rsidR="00501DE3" w:rsidRDefault="00501DE3" w:rsidP="00501DE3">
      <w:pPr>
        <w:pStyle w:val="ListParagraph"/>
        <w:spacing w:before="120" w:after="120" w:line="360" w:lineRule="auto"/>
        <w:jc w:val="center"/>
        <w:rPr>
          <w:i/>
        </w:rPr>
      </w:pPr>
      <w:r w:rsidRPr="0064699A">
        <w:rPr>
          <w:i/>
        </w:rPr>
        <w:t>“Knowledge doth come of learning well retained, Unfruitful else”</w:t>
      </w:r>
    </w:p>
    <w:p w14:paraId="09479AB9" w14:textId="77777777" w:rsidR="00501DE3" w:rsidRPr="0064699A" w:rsidRDefault="00224D65" w:rsidP="00501DE3">
      <w:pPr>
        <w:pStyle w:val="ListParagraph"/>
        <w:spacing w:before="120" w:after="120" w:line="360" w:lineRule="auto"/>
        <w:jc w:val="right"/>
        <w:rPr>
          <w:i/>
        </w:rPr>
      </w:pPr>
      <w:sdt>
        <w:sdtPr>
          <w:rPr>
            <w:i/>
          </w:rPr>
          <w:id w:val="1092739960"/>
          <w:citation/>
        </w:sdtPr>
        <w:sdtEndPr/>
        <w:sdtContent>
          <w:r w:rsidR="00501DE3">
            <w:rPr>
              <w:i/>
            </w:rPr>
            <w:fldChar w:fldCharType="begin"/>
          </w:r>
          <w:r w:rsidR="00501DE3">
            <w:rPr>
              <w:i/>
            </w:rPr>
            <w:instrText xml:space="preserve"> CITATION Mac13 \l 3081 </w:instrText>
          </w:r>
          <w:r w:rsidR="00501DE3">
            <w:rPr>
              <w:i/>
            </w:rPr>
            <w:fldChar w:fldCharType="separate"/>
          </w:r>
          <w:r w:rsidR="00501DE3">
            <w:rPr>
              <w:noProof/>
            </w:rPr>
            <w:t>(Machiavelli, 1513)</w:t>
          </w:r>
          <w:r w:rsidR="00501DE3">
            <w:rPr>
              <w:i/>
            </w:rPr>
            <w:fldChar w:fldCharType="end"/>
          </w:r>
        </w:sdtContent>
      </w:sdt>
    </w:p>
    <w:p w14:paraId="6B0E599E" w14:textId="4AF4FC79" w:rsidR="00501DE3" w:rsidRPr="008D0FE2" w:rsidRDefault="007445C9" w:rsidP="00276655">
      <w:pPr>
        <w:pStyle w:val="ListParagraph"/>
        <w:spacing w:before="120" w:after="120" w:line="360" w:lineRule="auto"/>
      </w:pPr>
      <w:r>
        <w:t>In the following sections, I will be referring to Schlechty’s model of engagement, and use it identify which of the following Learning Theories are appropriate to use in different contexts, and with students at different levels of engagement.</w:t>
      </w:r>
    </w:p>
    <w:p w14:paraId="00146669" w14:textId="726E8C87" w:rsidR="00114276" w:rsidRPr="000B6B5E" w:rsidRDefault="007A10C0" w:rsidP="00276655">
      <w:pPr>
        <w:pStyle w:val="Heading1"/>
        <w:numPr>
          <w:ilvl w:val="1"/>
          <w:numId w:val="11"/>
        </w:numPr>
      </w:pPr>
      <w:bookmarkStart w:id="3" w:name="_Toc430900483"/>
      <w:r w:rsidRPr="000B6B5E">
        <w:t>Learning Theories and Instructional Theories</w:t>
      </w:r>
      <w:bookmarkEnd w:id="3"/>
    </w:p>
    <w:p w14:paraId="69F3E3CA" w14:textId="64457163" w:rsidR="005D3452" w:rsidRDefault="005D3452" w:rsidP="00276655">
      <w:pPr>
        <w:pStyle w:val="ListParagraph"/>
        <w:spacing w:before="120" w:after="120" w:line="360" w:lineRule="auto"/>
        <w:ind w:left="792"/>
      </w:pPr>
      <w:r>
        <w:t>Theories are systems of ideas intended to explain a collection of observed facts</w:t>
      </w:r>
      <w:sdt>
        <w:sdtPr>
          <w:id w:val="-1044508901"/>
          <w:citation/>
        </w:sdtPr>
        <w:sdtEndPr/>
        <w:sdtContent>
          <w:r w:rsidR="00E768DE">
            <w:fldChar w:fldCharType="begin"/>
          </w:r>
          <w:r w:rsidR="00E768DE">
            <w:instrText xml:space="preserve"> CITATION Pet14 \l 3081 </w:instrText>
          </w:r>
          <w:r w:rsidR="00E768DE">
            <w:fldChar w:fldCharType="separate"/>
          </w:r>
          <w:r w:rsidR="00E768DE">
            <w:rPr>
              <w:noProof/>
            </w:rPr>
            <w:t xml:space="preserve"> (Peters, 2014)</w:t>
          </w:r>
          <w:r w:rsidR="00E768DE">
            <w:fldChar w:fldCharType="end"/>
          </w:r>
        </w:sdtContent>
      </w:sdt>
      <w:r>
        <w:t>.  Learning Theories are, therefore, systems of ideas that are intended to explain they way in which we observe students learn.  Similarly, Instructional T</w:t>
      </w:r>
      <w:r w:rsidR="00E768DE">
        <w:t>heories are used to explain how the various observed teaching techniques work to help student learning</w:t>
      </w:r>
      <w:sdt>
        <w:sdtPr>
          <w:id w:val="-1547138820"/>
          <w:citation/>
        </w:sdtPr>
        <w:sdtEndPr/>
        <w:sdtContent>
          <w:r w:rsidR="002C0A3B">
            <w:fldChar w:fldCharType="begin"/>
          </w:r>
          <w:r w:rsidR="002C0A3B">
            <w:instrText xml:space="preserve">CITATION Sch08 \p 76 \l 3081 </w:instrText>
          </w:r>
          <w:r w:rsidR="002C0A3B">
            <w:fldChar w:fldCharType="separate"/>
          </w:r>
          <w:r w:rsidR="002C0A3B">
            <w:rPr>
              <w:noProof/>
            </w:rPr>
            <w:t xml:space="preserve"> (Schuh &amp; Barab, 2008, p. 76)</w:t>
          </w:r>
          <w:r w:rsidR="002C0A3B">
            <w:fldChar w:fldCharType="end"/>
          </w:r>
        </w:sdtContent>
      </w:sdt>
      <w:r w:rsidR="00E768DE">
        <w:t xml:space="preserve">.  In this essay, the focus will </w:t>
      </w:r>
      <w:r w:rsidR="00756FE4">
        <w:t>be on various Learning Theories, although some instructional techniques (elements of Instructional Theories) will be identified as having characteristics that work well with certain Learning Theories.</w:t>
      </w:r>
      <w:r w:rsidR="00C05449">
        <w:t xml:space="preserve"> </w:t>
      </w:r>
    </w:p>
    <w:p w14:paraId="29A97B99" w14:textId="759EE6DF" w:rsidR="00114276" w:rsidRPr="00276655" w:rsidRDefault="002C0A3B" w:rsidP="00276655">
      <w:pPr>
        <w:pStyle w:val="Heading1"/>
        <w:numPr>
          <w:ilvl w:val="1"/>
          <w:numId w:val="11"/>
        </w:numPr>
      </w:pPr>
      <w:bookmarkStart w:id="4" w:name="_Toc430900484"/>
      <w:r w:rsidRPr="00276655">
        <w:t>Behaviourism</w:t>
      </w:r>
      <w:bookmarkEnd w:id="4"/>
    </w:p>
    <w:p w14:paraId="2F657447" w14:textId="1912597D" w:rsidR="002C0A3B" w:rsidRDefault="002C0A3B" w:rsidP="00276655">
      <w:pPr>
        <w:pStyle w:val="ListParagraph"/>
        <w:spacing w:before="120" w:after="120" w:line="360" w:lineRule="auto"/>
        <w:ind w:left="792"/>
      </w:pPr>
      <w:r>
        <w:t>Behaviourism as a Learning Theory can be described as direct transmission of knowledge from teacher to student.  It follow</w:t>
      </w:r>
      <w:r w:rsidR="000B6B5E">
        <w:t>s</w:t>
      </w:r>
      <w:r>
        <w:t xml:space="preserve"> from this that Behaviourism does not require interaction between learners, or even between learners and ac</w:t>
      </w:r>
      <w:r w:rsidR="000B6B5E">
        <w:t>tors outside of the classroom.  Ontologically, Behaviourism is Objective in nature as the facts of the world are seen to be independent of human understanding or interaction with the world.  Programmed Instruction, Explicit Instruction and Direct Instruction are all teaching techniques that are based on Behaviourism as a Learning Theory</w:t>
      </w:r>
      <w:sdt>
        <w:sdtPr>
          <w:id w:val="-1321653228"/>
          <w:citation/>
        </w:sdtPr>
        <w:sdtEndPr/>
        <w:sdtContent>
          <w:r w:rsidR="0006720E">
            <w:fldChar w:fldCharType="begin"/>
          </w:r>
          <w:r w:rsidR="0006720E">
            <w:instrText xml:space="preserve">CITATION Sch08 \p 76 \l 3081 </w:instrText>
          </w:r>
          <w:r w:rsidR="0006720E">
            <w:fldChar w:fldCharType="separate"/>
          </w:r>
          <w:r w:rsidR="0006720E">
            <w:rPr>
              <w:noProof/>
            </w:rPr>
            <w:t xml:space="preserve"> (Schuh &amp; Barab, 2008, p. 76)</w:t>
          </w:r>
          <w:r w:rsidR="0006720E">
            <w:fldChar w:fldCharType="end"/>
          </w:r>
        </w:sdtContent>
      </w:sdt>
      <w:r w:rsidR="000B6B5E">
        <w:t>.  Each of these techniques make it very clear to students what is expected for them to succeed, but give students no ownership of learning, and so tend to result in low commitment, other than what is immediately required for each lesson.</w:t>
      </w:r>
      <w:r w:rsidR="0006720E">
        <w:t xml:space="preserve">  Proponents of these styles of Instruction often value teacher accountability, and describe these techniques as evidence-based in terms of producing improved results.  However, accountability as a strategy for improvement is a relatively poor way to look for improvements in outcomes. </w:t>
      </w:r>
      <w:sdt>
        <w:sdtPr>
          <w:id w:val="460393108"/>
          <w:citation/>
        </w:sdtPr>
        <w:sdtEndPr/>
        <w:sdtContent>
          <w:r w:rsidR="009C7665">
            <w:fldChar w:fldCharType="begin"/>
          </w:r>
          <w:r w:rsidR="009C7665">
            <w:instrText xml:space="preserve">CITATION Ful14 \p 27 \l 3081 </w:instrText>
          </w:r>
          <w:r w:rsidR="009C7665">
            <w:fldChar w:fldCharType="separate"/>
          </w:r>
          <w:r w:rsidR="009C7665">
            <w:rPr>
              <w:noProof/>
            </w:rPr>
            <w:t>(Fullan, 2014, p. 27)</w:t>
          </w:r>
          <w:r w:rsidR="009C7665">
            <w:fldChar w:fldCharType="end"/>
          </w:r>
        </w:sdtContent>
      </w:sdt>
      <w:r w:rsidR="0006720E">
        <w:t xml:space="preserve"> If teachers are primarily </w:t>
      </w:r>
      <w:r w:rsidR="009C7665">
        <w:t>accountable for the data and results they produce, then that will become the focus</w:t>
      </w:r>
      <w:sdt>
        <w:sdtPr>
          <w:id w:val="1199662033"/>
          <w:citation/>
        </w:sdtPr>
        <w:sdtEndPr/>
        <w:sdtContent>
          <w:r w:rsidR="009C7665">
            <w:fldChar w:fldCharType="begin"/>
          </w:r>
          <w:r w:rsidR="009C7665">
            <w:instrText xml:space="preserve">CITATION Kre13 \p 859 \l 3081 </w:instrText>
          </w:r>
          <w:r w:rsidR="009C7665">
            <w:fldChar w:fldCharType="separate"/>
          </w:r>
          <w:r w:rsidR="009C7665">
            <w:rPr>
              <w:noProof/>
            </w:rPr>
            <w:t xml:space="preserve"> (Kreber, 2013, p. 859)</w:t>
          </w:r>
          <w:r w:rsidR="009C7665">
            <w:fldChar w:fldCharType="end"/>
          </w:r>
        </w:sdtContent>
      </w:sdt>
      <w:r w:rsidR="0084330E">
        <w:t>.  Behaviourism, as a learning theory, works well for students who are working at the level of Ritual Compliance, in that they have low commitment and attention, but will do what is asked by the teacher in order to avoid negative consequences.</w:t>
      </w:r>
    </w:p>
    <w:p w14:paraId="76CBD2D8" w14:textId="28EBA108" w:rsidR="005C066F" w:rsidRDefault="005C066F" w:rsidP="0075793F">
      <w:pPr>
        <w:pStyle w:val="ListParagraph"/>
        <w:spacing w:before="120" w:after="120" w:line="360" w:lineRule="auto"/>
        <w:ind w:left="1440"/>
      </w:pPr>
    </w:p>
    <w:p w14:paraId="65F771ED" w14:textId="46593200" w:rsidR="00114276" w:rsidRPr="00276655" w:rsidRDefault="009C60D1" w:rsidP="00276655">
      <w:pPr>
        <w:pStyle w:val="Heading1"/>
        <w:numPr>
          <w:ilvl w:val="1"/>
          <w:numId w:val="11"/>
        </w:numPr>
      </w:pPr>
      <w:bookmarkStart w:id="5" w:name="_Toc430900485"/>
      <w:r w:rsidRPr="00276655">
        <w:t>Constructivism</w:t>
      </w:r>
      <w:bookmarkEnd w:id="5"/>
    </w:p>
    <w:p w14:paraId="027BC99C" w14:textId="1CDE83C2" w:rsidR="00687854" w:rsidRDefault="00687854" w:rsidP="00276655">
      <w:pPr>
        <w:pStyle w:val="ListParagraph"/>
        <w:spacing w:before="120" w:after="120" w:line="360" w:lineRule="auto"/>
        <w:ind w:left="792"/>
      </w:pPr>
      <w:r>
        <w:t xml:space="preserve">Constructivism as a Learning Theory assumes a greater role for relationships between learners and the world than in Behaviourism.  The teacher is no longer the only source of knowledge or facts, and students </w:t>
      </w:r>
      <w:r w:rsidR="00D46552">
        <w:t xml:space="preserve">construct knowledge gained both from the teacher, and from their own experiences and sources outside of the classroom.  As in Behaviourism, the world exists independently of us, however there is an acceptance in Constructivism that it cannot be well defined </w:t>
      </w:r>
      <w:sdt>
        <w:sdtPr>
          <w:id w:val="968009071"/>
          <w:citation/>
        </w:sdtPr>
        <w:sdtEndPr/>
        <w:sdtContent>
          <w:r w:rsidR="00D46552">
            <w:fldChar w:fldCharType="begin"/>
          </w:r>
          <w:r w:rsidR="00D46552">
            <w:instrText xml:space="preserve">CITATION Sch08 \p 71 \l 3081 </w:instrText>
          </w:r>
          <w:r w:rsidR="00D46552">
            <w:fldChar w:fldCharType="separate"/>
          </w:r>
          <w:r w:rsidR="00D46552">
            <w:rPr>
              <w:noProof/>
            </w:rPr>
            <w:t>(Schuh &amp; Barab, 2008, p. 71)</w:t>
          </w:r>
          <w:r w:rsidR="00D46552">
            <w:fldChar w:fldCharType="end"/>
          </w:r>
        </w:sdtContent>
      </w:sdt>
      <w:r w:rsidR="00D46552">
        <w:t>, and therefore has at its base Realism as its Ontology.  Constructivism describes the reorganisation of information (learning) as an ind</w:t>
      </w:r>
      <w:r w:rsidR="009C60D1">
        <w:t>ividual activity</w:t>
      </w:r>
      <w:sdt>
        <w:sdtPr>
          <w:id w:val="-978840597"/>
          <w:citation/>
        </w:sdtPr>
        <w:sdtEndPr/>
        <w:sdtContent>
          <w:r w:rsidR="009C60D1">
            <w:fldChar w:fldCharType="begin"/>
          </w:r>
          <w:r w:rsidR="009C60D1">
            <w:instrText xml:space="preserve"> CITATION Aus61 \l 3081 </w:instrText>
          </w:r>
          <w:r w:rsidR="009C60D1">
            <w:fldChar w:fldCharType="separate"/>
          </w:r>
          <w:r w:rsidR="009C60D1">
            <w:rPr>
              <w:noProof/>
            </w:rPr>
            <w:t xml:space="preserve"> (Ausubel, 1961)</w:t>
          </w:r>
          <w:r w:rsidR="009C60D1">
            <w:fldChar w:fldCharType="end"/>
          </w:r>
        </w:sdtContent>
      </w:sdt>
      <w:r w:rsidR="009C60D1">
        <w:t>, and so Programmed Learning and similar forms of instructional techniques used in Behaviourism are inappropriate.  However, students may still be guided in their learning by the teacher, so the provision of clear lesson intentions and success criteria can be useful instructional techniques to allow students to judge their own success as learners, although the criteria for success are still set by the teacher rather than the student themselves.</w:t>
      </w:r>
      <w:r w:rsidR="0084330E">
        <w:t xml:space="preserve">  Students that show a high level of attention, but without ownership of their own learning, learn well under Constructivist learning theories, and can best be described as Strategically Compliant under the Schlechty model for engagement.</w:t>
      </w:r>
    </w:p>
    <w:p w14:paraId="60DA744D" w14:textId="6D2BFC0C" w:rsidR="00114276" w:rsidRPr="00276655" w:rsidRDefault="002863A8" w:rsidP="00276655">
      <w:pPr>
        <w:pStyle w:val="Heading1"/>
        <w:numPr>
          <w:ilvl w:val="1"/>
          <w:numId w:val="11"/>
        </w:numPr>
      </w:pPr>
      <w:bookmarkStart w:id="6" w:name="_Toc430900486"/>
      <w:r w:rsidRPr="00276655">
        <w:t>Cosmopolitanism</w:t>
      </w:r>
      <w:bookmarkEnd w:id="6"/>
    </w:p>
    <w:p w14:paraId="23BF3A6A" w14:textId="2C0F24A0" w:rsidR="005D4F12" w:rsidRDefault="005D4F12" w:rsidP="00276655">
      <w:pPr>
        <w:pStyle w:val="ListParagraph"/>
        <w:spacing w:before="120" w:after="120" w:line="360" w:lineRule="auto"/>
      </w:pPr>
      <w:r>
        <w:t xml:space="preserve">In some ways similar to Constructivism, Cosmopolitanism as a Learning Theory </w:t>
      </w:r>
      <w:r w:rsidR="001231C9">
        <w:t xml:space="preserve">also </w:t>
      </w:r>
      <w:r>
        <w:t xml:space="preserve">posits that students construct knowledge by reorganising information from a variety of sources, including the classroom teacher, and other sources such as their own experiences.  Cosmopolitanism differs from Constructivism in that Cosmopolitanism </w:t>
      </w:r>
      <w:r w:rsidR="001231C9">
        <w:t xml:space="preserve">describes learning as a collaborative activity, and occurs as </w:t>
      </w:r>
      <w:r w:rsidR="00C4180A">
        <w:t xml:space="preserve">students collaboratively engage with the world.  </w:t>
      </w:r>
      <w:r w:rsidR="008E726C">
        <w:t>The ontology of Cosmopolitanism is Relativism, given the clear importance given to the relationships between ideas, cultures and people</w:t>
      </w:r>
      <w:sdt>
        <w:sdtPr>
          <w:id w:val="2050407438"/>
          <w:citation/>
        </w:sdtPr>
        <w:sdtEndPr/>
        <w:sdtContent>
          <w:r w:rsidR="008E726C">
            <w:fldChar w:fldCharType="begin"/>
          </w:r>
          <w:r w:rsidR="008E726C">
            <w:instrText xml:space="preserve">CITATION Sch08 \p 71 \l 3081 </w:instrText>
          </w:r>
          <w:r w:rsidR="008E726C">
            <w:fldChar w:fldCharType="separate"/>
          </w:r>
          <w:r w:rsidR="008E726C">
            <w:rPr>
              <w:noProof/>
            </w:rPr>
            <w:t xml:space="preserve"> (Schuh &amp; Barab, 2008, p. 71)</w:t>
          </w:r>
          <w:r w:rsidR="008E726C">
            <w:fldChar w:fldCharType="end"/>
          </w:r>
        </w:sdtContent>
      </w:sdt>
      <w:r w:rsidR="008E726C">
        <w:t xml:space="preserve">.  </w:t>
      </w:r>
      <w:r w:rsidR="00C4180A">
        <w:t xml:space="preserve">Cosmopolitanism implies an openness to ideas and cultures that are different to our own, as a result of interaction with other people, cultures and ideas </w:t>
      </w:r>
      <w:sdt>
        <w:sdtPr>
          <w:id w:val="-177281305"/>
          <w:citation/>
        </w:sdtPr>
        <w:sdtEndPr/>
        <w:sdtContent>
          <w:r w:rsidR="00C4180A">
            <w:fldChar w:fldCharType="begin"/>
          </w:r>
          <w:r w:rsidR="00C4180A">
            <w:instrText xml:space="preserve">CITATION Sai10 \p 334 \l 3081 </w:instrText>
          </w:r>
          <w:r w:rsidR="00C4180A">
            <w:fldChar w:fldCharType="separate"/>
          </w:r>
          <w:r w:rsidR="00C4180A">
            <w:rPr>
              <w:noProof/>
            </w:rPr>
            <w:t>(Saito, 2010, p. 334)</w:t>
          </w:r>
          <w:r w:rsidR="00C4180A">
            <w:fldChar w:fldCharType="end"/>
          </w:r>
        </w:sdtContent>
      </w:sdt>
      <w:r w:rsidR="00C4180A">
        <w:t xml:space="preserve">.  This requires, from students, a high level of commitment in order to reorganise existing schema to accommodate different ways of thinking, however the end result can be more enlightened and mature students, as their high level of work commitment causes a similar high level of commitment to alternate cultures and ideas </w:t>
      </w:r>
      <w:sdt>
        <w:sdtPr>
          <w:id w:val="698748765"/>
          <w:citation/>
        </w:sdtPr>
        <w:sdtEndPr/>
        <w:sdtContent>
          <w:r w:rsidR="00C4180A">
            <w:fldChar w:fldCharType="begin"/>
          </w:r>
          <w:r w:rsidR="00C4180A">
            <w:instrText xml:space="preserve">CITATION Sai10 \p 342 \l 3081 </w:instrText>
          </w:r>
          <w:r w:rsidR="00C4180A">
            <w:fldChar w:fldCharType="separate"/>
          </w:r>
          <w:r w:rsidR="00C4180A">
            <w:rPr>
              <w:noProof/>
            </w:rPr>
            <w:t>(Saito, 2010, p. 342)</w:t>
          </w:r>
          <w:r w:rsidR="00C4180A">
            <w:fldChar w:fldCharType="end"/>
          </w:r>
        </w:sdtContent>
      </w:sdt>
      <w:r w:rsidR="00C4180A">
        <w:t xml:space="preserve">.  Instructional Techniques appropriate for Behaviourism are certainly not appropriate, and even Learning Intentions and Success Criteria need to be personalised, or negotiated between teachers and students.  Interaction between students and other cultures can be </w:t>
      </w:r>
      <w:r w:rsidR="008E726C">
        <w:t>assisted through eLearning and digital pedagogies.</w:t>
      </w:r>
      <w:r w:rsidR="00511740">
        <w:t xml:space="preserve">  Under the Schlechty model, students working at this level are Authentically Engaged, as they are frequently directing their own learning, for their own purposes.</w:t>
      </w:r>
    </w:p>
    <w:p w14:paraId="37AC9AB2" w14:textId="54C96E24" w:rsidR="00114276" w:rsidRPr="00276655" w:rsidRDefault="008E726C" w:rsidP="00276655">
      <w:pPr>
        <w:pStyle w:val="Heading1"/>
        <w:numPr>
          <w:ilvl w:val="1"/>
          <w:numId w:val="11"/>
        </w:numPr>
      </w:pPr>
      <w:bookmarkStart w:id="7" w:name="_Toc430900487"/>
      <w:r w:rsidRPr="00276655">
        <w:t>Enactivism</w:t>
      </w:r>
      <w:bookmarkEnd w:id="7"/>
    </w:p>
    <w:p w14:paraId="4E934C5E" w14:textId="5BFCD4C8" w:rsidR="008E726C" w:rsidRPr="008E726C" w:rsidRDefault="008E726C" w:rsidP="00276655">
      <w:pPr>
        <w:pStyle w:val="ListParagraph"/>
        <w:spacing w:before="120" w:after="120" w:line="360" w:lineRule="auto"/>
      </w:pPr>
      <w:r>
        <w:t>The ontology, and the instructional techniques, for Enactivism are very closely related</w:t>
      </w:r>
      <w:r w:rsidR="000F448B">
        <w:t xml:space="preserve"> to those for Cosm</w:t>
      </w:r>
      <w:r w:rsidR="00276655">
        <w:t>o</w:t>
      </w:r>
      <w:r w:rsidR="000F448B">
        <w:t>politanism.</w:t>
      </w:r>
      <w:r w:rsidR="00A86DBF">
        <w:t xml:space="preserve">  The key difference between Cosmopolitanism and Enactivism is that while Cosm</w:t>
      </w:r>
      <w:r w:rsidR="00276655">
        <w:t>o</w:t>
      </w:r>
      <w:r w:rsidR="00A86DBF">
        <w:t>politanism focuses on collaborative learning through observations and interactions with the world at large, Enactivism also identifies actions that result from that learning as a part of the learning process.  In other words, the learning process can itself result in action that changes the world we are studying</w:t>
      </w:r>
      <w:sdt>
        <w:sdtPr>
          <w:id w:val="1543863560"/>
          <w:citation/>
        </w:sdtPr>
        <w:sdtEndPr/>
        <w:sdtContent>
          <w:r w:rsidR="00A86DBF">
            <w:fldChar w:fldCharType="begin"/>
          </w:r>
          <w:r w:rsidR="00A86DBF">
            <w:instrText xml:space="preserve">CITATION Sum97 \p 415 \l 3081 </w:instrText>
          </w:r>
          <w:r w:rsidR="00A86DBF">
            <w:fldChar w:fldCharType="separate"/>
          </w:r>
          <w:r w:rsidR="00A86DBF">
            <w:rPr>
              <w:noProof/>
            </w:rPr>
            <w:t xml:space="preserve"> (Sumara &amp; Davis, 1997, p. 415)</w:t>
          </w:r>
          <w:r w:rsidR="00A86DBF">
            <w:fldChar w:fldCharType="end"/>
          </w:r>
        </w:sdtContent>
      </w:sdt>
      <w:r w:rsidR="00A86DBF">
        <w:t xml:space="preserve">.  Enactivism will obviously only be relevant for students that are highly committed to their </w:t>
      </w:r>
      <w:r w:rsidR="00BC2A06">
        <w:t xml:space="preserve">studies in a personal way, and own their education as a way to improve the world.  </w:t>
      </w:r>
      <w:r w:rsidR="00511740">
        <w:t xml:space="preserve">These students are also identified as being Authentically Engaged in the Schlechty model, as students highly committed to their own learning.  </w:t>
      </w:r>
      <w:r w:rsidR="00BC2A06">
        <w:t>Project Based Learning is an effective way for students to both learn about their world and learn how to make changes to the world at the same time. While designed for first year engineering students, the Engineers Without Borders Challenge is an example of the sort of instructional technique that embodies Enactivist thinking</w:t>
      </w:r>
      <w:sdt>
        <w:sdtPr>
          <w:id w:val="238599268"/>
          <w:citation/>
        </w:sdtPr>
        <w:sdtEndPr/>
        <w:sdtContent>
          <w:r w:rsidR="00BC2A06">
            <w:fldChar w:fldCharType="begin"/>
          </w:r>
          <w:r w:rsidR="00BC2A06">
            <w:instrText xml:space="preserve"> CITATION Eng14 \l 3081 </w:instrText>
          </w:r>
          <w:r w:rsidR="00BC2A06">
            <w:fldChar w:fldCharType="separate"/>
          </w:r>
          <w:r w:rsidR="00BC2A06">
            <w:rPr>
              <w:noProof/>
            </w:rPr>
            <w:t xml:space="preserve"> (Engineers Without Borders, 2014)</w:t>
          </w:r>
          <w:r w:rsidR="00BC2A06">
            <w:fldChar w:fldCharType="end"/>
          </w:r>
        </w:sdtContent>
      </w:sdt>
      <w:r w:rsidR="00BC2A06">
        <w:t>.</w:t>
      </w:r>
    </w:p>
    <w:p w14:paraId="0CE3C3EB" w14:textId="3B731B9B" w:rsidR="0075793F" w:rsidRPr="00276655" w:rsidRDefault="0075793F" w:rsidP="00276655">
      <w:pPr>
        <w:pStyle w:val="Heading1"/>
        <w:numPr>
          <w:ilvl w:val="1"/>
          <w:numId w:val="11"/>
        </w:numPr>
      </w:pPr>
      <w:bookmarkStart w:id="8" w:name="_Toc430900488"/>
      <w:r w:rsidRPr="00276655">
        <w:t>S</w:t>
      </w:r>
      <w:r w:rsidR="009C60D1" w:rsidRPr="00276655">
        <w:t>ummary of Learning Theories and</w:t>
      </w:r>
      <w:r w:rsidRPr="00276655">
        <w:t xml:space="preserve"> links to student engagement</w:t>
      </w:r>
      <w:bookmarkEnd w:id="8"/>
    </w:p>
    <w:p w14:paraId="63D108A5" w14:textId="20ADDB4F" w:rsidR="009B565A" w:rsidRDefault="005B3202" w:rsidP="00276655">
      <w:pPr>
        <w:pStyle w:val="ListParagraph"/>
        <w:spacing w:before="120" w:after="120" w:line="360" w:lineRule="auto"/>
        <w:ind w:left="792"/>
        <w:sectPr w:rsidR="009B565A" w:rsidSect="002F2C7C">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pPr>
      <w:r>
        <w:t>Measuring student engagement accurately can be a difficult task</w:t>
      </w:r>
      <w:r w:rsidR="00B33241">
        <w:t>.  Schlechty has developed a model that identifies five different levels of student engagement, from Rebellion to Authentic Engagement</w:t>
      </w:r>
      <w:sdt>
        <w:sdtPr>
          <w:id w:val="-1417322617"/>
          <w:citation/>
        </w:sdtPr>
        <w:sdtEndPr/>
        <w:sdtContent>
          <w:r w:rsidR="009C34B0">
            <w:fldChar w:fldCharType="begin"/>
          </w:r>
          <w:r w:rsidR="009C34B0">
            <w:instrText xml:space="preserve">CITATION Sch15 \l 3081 </w:instrText>
          </w:r>
          <w:r w:rsidR="009C34B0">
            <w:fldChar w:fldCharType="separate"/>
          </w:r>
          <w:r w:rsidR="008D0FE2">
            <w:rPr>
              <w:noProof/>
            </w:rPr>
            <w:t xml:space="preserve"> (Schlechty, 2011)</w:t>
          </w:r>
          <w:r w:rsidR="009C34B0">
            <w:fldChar w:fldCharType="end"/>
          </w:r>
        </w:sdtContent>
      </w:sdt>
      <w:r w:rsidR="00B33241">
        <w:t xml:space="preserve">.  Student engagement is measured on two domains, Attention and Commitment, where only students who show high attention and high commitment are identified as being authentically engaged.  </w:t>
      </w:r>
      <w:r w:rsidR="00644ED1">
        <w:t>The characteristics</w:t>
      </w:r>
      <w:r w:rsidR="009B565A">
        <w:t xml:space="preserve"> of the various </w:t>
      </w:r>
      <w:r w:rsidR="00B33241">
        <w:t xml:space="preserve">Learning Theories described above </w:t>
      </w:r>
      <w:r w:rsidR="009B565A">
        <w:t xml:space="preserve">match the needs of students at different levels of engagement </w:t>
      </w:r>
      <w:r w:rsidR="009C60D1">
        <w:t xml:space="preserve">as well as appropriate instructional techniques </w:t>
      </w:r>
      <w:r w:rsidR="009B565A">
        <w:t xml:space="preserve">as </w:t>
      </w:r>
      <w:r w:rsidR="00644ED1">
        <w:t>shown on the next page</w:t>
      </w:r>
      <w:r w:rsidR="009B565A">
        <w:t xml:space="preserve"> in Table 1.</w:t>
      </w:r>
    </w:p>
    <w:p w14:paraId="33C9C631" w14:textId="3BAC80AC" w:rsidR="005B3202" w:rsidRDefault="005B3202" w:rsidP="005B3202">
      <w:pPr>
        <w:pStyle w:val="ListParagraph"/>
        <w:spacing w:before="120" w:after="120" w:line="360" w:lineRule="auto"/>
        <w:ind w:left="1440"/>
      </w:pPr>
    </w:p>
    <w:tbl>
      <w:tblPr>
        <w:tblStyle w:val="TableGrid"/>
        <w:tblW w:w="13898" w:type="dxa"/>
        <w:tblInd w:w="184" w:type="dxa"/>
        <w:tblLook w:val="04A0" w:firstRow="1" w:lastRow="0" w:firstColumn="1" w:lastColumn="0" w:noHBand="0" w:noVBand="1"/>
      </w:tblPr>
      <w:tblGrid>
        <w:gridCol w:w="1994"/>
        <w:gridCol w:w="2380"/>
        <w:gridCol w:w="2381"/>
        <w:gridCol w:w="2381"/>
        <w:gridCol w:w="2381"/>
        <w:gridCol w:w="2381"/>
      </w:tblGrid>
      <w:tr w:rsidR="00863EA4" w14:paraId="76ECDCC8" w14:textId="77777777" w:rsidTr="00863EA4">
        <w:trPr>
          <w:trHeight w:val="1025"/>
        </w:trPr>
        <w:tc>
          <w:tcPr>
            <w:tcW w:w="1994" w:type="dxa"/>
            <w:shd w:val="clear" w:color="auto" w:fill="FFE599" w:themeFill="accent4" w:themeFillTint="66"/>
            <w:vAlign w:val="center"/>
          </w:tcPr>
          <w:p w14:paraId="570BE1AE" w14:textId="605ED42B" w:rsidR="009B565A" w:rsidRPr="00863EA4" w:rsidRDefault="009B565A" w:rsidP="002C0A3B">
            <w:pPr>
              <w:pStyle w:val="ListParagraph"/>
              <w:spacing w:line="360" w:lineRule="auto"/>
              <w:ind w:left="0"/>
              <w:jc w:val="center"/>
              <w:rPr>
                <w:b/>
              </w:rPr>
            </w:pPr>
            <w:r w:rsidRPr="00863EA4">
              <w:rPr>
                <w:b/>
              </w:rPr>
              <w:t>Schlechty Level</w:t>
            </w:r>
            <w:r w:rsidR="00863EA4" w:rsidRPr="00863EA4">
              <w:rPr>
                <w:b/>
              </w:rPr>
              <w:t>s</w:t>
            </w:r>
            <w:r w:rsidRPr="00863EA4">
              <w:rPr>
                <w:b/>
              </w:rPr>
              <w:t xml:space="preserve"> of Engagement</w:t>
            </w:r>
          </w:p>
        </w:tc>
        <w:tc>
          <w:tcPr>
            <w:tcW w:w="2380" w:type="dxa"/>
            <w:shd w:val="clear" w:color="auto" w:fill="FFE599" w:themeFill="accent4" w:themeFillTint="66"/>
            <w:vAlign w:val="center"/>
          </w:tcPr>
          <w:p w14:paraId="7DDDC0AD" w14:textId="46FEB980" w:rsidR="009B565A" w:rsidRPr="00863EA4" w:rsidRDefault="009B565A" w:rsidP="002C0A3B">
            <w:pPr>
              <w:pStyle w:val="ListParagraph"/>
              <w:spacing w:line="360" w:lineRule="auto"/>
              <w:ind w:left="0"/>
              <w:jc w:val="center"/>
              <w:rPr>
                <w:rFonts w:ascii="Century Gothic" w:hAnsi="Century Gothic"/>
                <w:b/>
              </w:rPr>
            </w:pPr>
            <w:r w:rsidRPr="00863EA4">
              <w:rPr>
                <w:rFonts w:ascii="Century Gothic" w:hAnsi="Century Gothic"/>
                <w:b/>
              </w:rPr>
              <w:t>Rebellion</w:t>
            </w:r>
          </w:p>
        </w:tc>
        <w:tc>
          <w:tcPr>
            <w:tcW w:w="2381" w:type="dxa"/>
            <w:shd w:val="clear" w:color="auto" w:fill="FFE599" w:themeFill="accent4" w:themeFillTint="66"/>
            <w:vAlign w:val="center"/>
          </w:tcPr>
          <w:p w14:paraId="3F359F57" w14:textId="351F3998" w:rsidR="009B565A" w:rsidRPr="00863EA4" w:rsidRDefault="009B565A" w:rsidP="002C0A3B">
            <w:pPr>
              <w:pStyle w:val="ListParagraph"/>
              <w:spacing w:line="360" w:lineRule="auto"/>
              <w:ind w:left="0"/>
              <w:jc w:val="center"/>
              <w:rPr>
                <w:rFonts w:ascii="Century Gothic" w:hAnsi="Century Gothic"/>
                <w:b/>
              </w:rPr>
            </w:pPr>
            <w:r w:rsidRPr="00863EA4">
              <w:rPr>
                <w:rFonts w:ascii="Century Gothic" w:hAnsi="Century Gothic"/>
                <w:b/>
              </w:rPr>
              <w:t>Retreatism</w:t>
            </w:r>
          </w:p>
        </w:tc>
        <w:tc>
          <w:tcPr>
            <w:tcW w:w="2381" w:type="dxa"/>
            <w:shd w:val="clear" w:color="auto" w:fill="FFE599" w:themeFill="accent4" w:themeFillTint="66"/>
            <w:vAlign w:val="center"/>
          </w:tcPr>
          <w:p w14:paraId="072E9511" w14:textId="09F14ABF" w:rsidR="009B565A" w:rsidRPr="00863EA4" w:rsidRDefault="009B565A" w:rsidP="002C0A3B">
            <w:pPr>
              <w:pStyle w:val="ListParagraph"/>
              <w:spacing w:line="360" w:lineRule="auto"/>
              <w:ind w:left="0"/>
              <w:jc w:val="center"/>
              <w:rPr>
                <w:rFonts w:ascii="Century Gothic" w:hAnsi="Century Gothic"/>
                <w:b/>
              </w:rPr>
            </w:pPr>
            <w:r w:rsidRPr="00863EA4">
              <w:rPr>
                <w:rFonts w:ascii="Century Gothic" w:hAnsi="Century Gothic"/>
                <w:b/>
              </w:rPr>
              <w:t>Ritual Compliance</w:t>
            </w:r>
          </w:p>
        </w:tc>
        <w:tc>
          <w:tcPr>
            <w:tcW w:w="2381" w:type="dxa"/>
            <w:shd w:val="clear" w:color="auto" w:fill="FFE599" w:themeFill="accent4" w:themeFillTint="66"/>
            <w:vAlign w:val="center"/>
          </w:tcPr>
          <w:p w14:paraId="21195317" w14:textId="08CD42A7" w:rsidR="009B565A" w:rsidRPr="00863EA4" w:rsidRDefault="009B565A" w:rsidP="002C0A3B">
            <w:pPr>
              <w:pStyle w:val="ListParagraph"/>
              <w:spacing w:line="360" w:lineRule="auto"/>
              <w:ind w:left="0"/>
              <w:jc w:val="center"/>
              <w:rPr>
                <w:rFonts w:ascii="Century Gothic" w:hAnsi="Century Gothic"/>
                <w:b/>
              </w:rPr>
            </w:pPr>
            <w:r w:rsidRPr="00863EA4">
              <w:rPr>
                <w:rFonts w:ascii="Century Gothic" w:hAnsi="Century Gothic"/>
                <w:b/>
              </w:rPr>
              <w:t>Strategic Compliance</w:t>
            </w:r>
          </w:p>
        </w:tc>
        <w:tc>
          <w:tcPr>
            <w:tcW w:w="2381" w:type="dxa"/>
            <w:shd w:val="clear" w:color="auto" w:fill="FFE599" w:themeFill="accent4" w:themeFillTint="66"/>
            <w:vAlign w:val="center"/>
          </w:tcPr>
          <w:p w14:paraId="63956FBF" w14:textId="4582BC29" w:rsidR="009B565A" w:rsidRPr="00863EA4" w:rsidRDefault="009B565A" w:rsidP="002C0A3B">
            <w:pPr>
              <w:pStyle w:val="ListParagraph"/>
              <w:spacing w:line="360" w:lineRule="auto"/>
              <w:ind w:left="0"/>
              <w:jc w:val="center"/>
              <w:rPr>
                <w:rFonts w:ascii="Century Gothic" w:hAnsi="Century Gothic"/>
                <w:b/>
              </w:rPr>
            </w:pPr>
            <w:r w:rsidRPr="00863EA4">
              <w:rPr>
                <w:rFonts w:ascii="Century Gothic" w:hAnsi="Century Gothic"/>
                <w:b/>
              </w:rPr>
              <w:t>Authentic Engagement</w:t>
            </w:r>
          </w:p>
        </w:tc>
      </w:tr>
      <w:tr w:rsidR="00863EA4" w14:paraId="30F23672" w14:textId="77777777" w:rsidTr="00863EA4">
        <w:trPr>
          <w:trHeight w:val="1356"/>
        </w:trPr>
        <w:tc>
          <w:tcPr>
            <w:tcW w:w="1994" w:type="dxa"/>
            <w:shd w:val="clear" w:color="auto" w:fill="C5E0B3" w:themeFill="accent6" w:themeFillTint="66"/>
            <w:vAlign w:val="center"/>
          </w:tcPr>
          <w:p w14:paraId="77DEE228" w14:textId="4D3B621D" w:rsidR="009B565A" w:rsidRPr="00863EA4" w:rsidRDefault="00863EA4" w:rsidP="002C0A3B">
            <w:pPr>
              <w:pStyle w:val="ListParagraph"/>
              <w:spacing w:line="360" w:lineRule="auto"/>
              <w:ind w:left="0"/>
              <w:jc w:val="center"/>
              <w:rPr>
                <w:b/>
              </w:rPr>
            </w:pPr>
            <w:r>
              <w:rPr>
                <w:b/>
              </w:rPr>
              <w:t>Characteristic</w:t>
            </w:r>
            <w:r w:rsidR="001D4CF1">
              <w:rPr>
                <w:b/>
              </w:rPr>
              <w:t>s</w:t>
            </w:r>
            <w:r>
              <w:rPr>
                <w:b/>
              </w:rPr>
              <w:t xml:space="preserve"> of </w:t>
            </w:r>
            <w:r w:rsidR="001D4CF1">
              <w:rPr>
                <w:b/>
              </w:rPr>
              <w:t xml:space="preserve">the </w:t>
            </w:r>
            <w:r>
              <w:rPr>
                <w:b/>
              </w:rPr>
              <w:t>Learner</w:t>
            </w:r>
          </w:p>
        </w:tc>
        <w:tc>
          <w:tcPr>
            <w:tcW w:w="2380" w:type="dxa"/>
            <w:shd w:val="clear" w:color="auto" w:fill="C5E0B3" w:themeFill="accent6" w:themeFillTint="66"/>
            <w:vAlign w:val="center"/>
          </w:tcPr>
          <w:p w14:paraId="65DC2E04" w14:textId="77777777" w:rsidR="009B565A" w:rsidRPr="009B565A" w:rsidRDefault="009B565A" w:rsidP="002C0A3B">
            <w:pPr>
              <w:pStyle w:val="ListParagraph"/>
              <w:spacing w:line="360" w:lineRule="auto"/>
              <w:ind w:left="0"/>
              <w:jc w:val="center"/>
            </w:pPr>
            <w:r w:rsidRPr="009B565A">
              <w:t>Diverted Attention</w:t>
            </w:r>
          </w:p>
          <w:p w14:paraId="3C972253" w14:textId="42B58B65" w:rsidR="009B565A" w:rsidRPr="009B565A" w:rsidRDefault="009B565A" w:rsidP="002C0A3B">
            <w:pPr>
              <w:pStyle w:val="ListParagraph"/>
              <w:spacing w:line="360" w:lineRule="auto"/>
              <w:ind w:left="0"/>
              <w:jc w:val="center"/>
              <w:rPr>
                <w:sz w:val="20"/>
                <w:szCs w:val="20"/>
              </w:rPr>
            </w:pPr>
            <w:r w:rsidRPr="009B565A">
              <w:t>No Commitment</w:t>
            </w:r>
          </w:p>
        </w:tc>
        <w:tc>
          <w:tcPr>
            <w:tcW w:w="2381" w:type="dxa"/>
            <w:shd w:val="clear" w:color="auto" w:fill="C5E0B3" w:themeFill="accent6" w:themeFillTint="66"/>
            <w:vAlign w:val="center"/>
          </w:tcPr>
          <w:p w14:paraId="6037FD83" w14:textId="77777777" w:rsidR="009B565A" w:rsidRPr="009B565A" w:rsidRDefault="009B565A" w:rsidP="002C0A3B">
            <w:pPr>
              <w:pStyle w:val="ListParagraph"/>
              <w:spacing w:line="360" w:lineRule="auto"/>
              <w:ind w:left="0"/>
              <w:jc w:val="center"/>
            </w:pPr>
            <w:r w:rsidRPr="009B565A">
              <w:t>No Attention</w:t>
            </w:r>
          </w:p>
          <w:p w14:paraId="0D0CA57E" w14:textId="35360B87" w:rsidR="009B565A" w:rsidRPr="009B565A" w:rsidRDefault="009B565A" w:rsidP="002C0A3B">
            <w:pPr>
              <w:pStyle w:val="ListParagraph"/>
              <w:spacing w:line="360" w:lineRule="auto"/>
              <w:ind w:left="0"/>
              <w:jc w:val="center"/>
            </w:pPr>
            <w:r w:rsidRPr="009B565A">
              <w:t>No Commitment</w:t>
            </w:r>
          </w:p>
        </w:tc>
        <w:tc>
          <w:tcPr>
            <w:tcW w:w="2381" w:type="dxa"/>
            <w:shd w:val="clear" w:color="auto" w:fill="C5E0B3" w:themeFill="accent6" w:themeFillTint="66"/>
            <w:vAlign w:val="center"/>
          </w:tcPr>
          <w:p w14:paraId="49B169D9" w14:textId="77777777" w:rsidR="009B565A" w:rsidRPr="009B565A" w:rsidRDefault="009B565A" w:rsidP="002C0A3B">
            <w:pPr>
              <w:pStyle w:val="ListParagraph"/>
              <w:spacing w:line="360" w:lineRule="auto"/>
              <w:ind w:left="0"/>
              <w:jc w:val="center"/>
            </w:pPr>
            <w:r w:rsidRPr="009B565A">
              <w:t>Low Attention</w:t>
            </w:r>
          </w:p>
          <w:p w14:paraId="3935965C" w14:textId="0BA755A6" w:rsidR="009B565A" w:rsidRPr="009B565A" w:rsidRDefault="009B565A" w:rsidP="002C0A3B">
            <w:pPr>
              <w:pStyle w:val="ListParagraph"/>
              <w:spacing w:line="360" w:lineRule="auto"/>
              <w:ind w:left="0"/>
              <w:jc w:val="center"/>
            </w:pPr>
            <w:r w:rsidRPr="009B565A">
              <w:t>Low Commitment</w:t>
            </w:r>
          </w:p>
        </w:tc>
        <w:tc>
          <w:tcPr>
            <w:tcW w:w="2381" w:type="dxa"/>
            <w:shd w:val="clear" w:color="auto" w:fill="C5E0B3" w:themeFill="accent6" w:themeFillTint="66"/>
            <w:vAlign w:val="center"/>
          </w:tcPr>
          <w:p w14:paraId="2D8D83FE" w14:textId="0B8F6D23" w:rsidR="009B565A" w:rsidRPr="009B565A" w:rsidRDefault="009B565A" w:rsidP="002C0A3B">
            <w:pPr>
              <w:pStyle w:val="ListParagraph"/>
              <w:spacing w:line="360" w:lineRule="auto"/>
              <w:ind w:left="0"/>
              <w:jc w:val="center"/>
            </w:pPr>
            <w:r w:rsidRPr="009B565A">
              <w:t>High Attention</w:t>
            </w:r>
          </w:p>
          <w:p w14:paraId="57D61B1E" w14:textId="042ADDB7" w:rsidR="009B565A" w:rsidRPr="009B565A" w:rsidRDefault="009B565A" w:rsidP="002C0A3B">
            <w:pPr>
              <w:pStyle w:val="ListParagraph"/>
              <w:spacing w:line="360" w:lineRule="auto"/>
              <w:ind w:left="0"/>
              <w:jc w:val="center"/>
            </w:pPr>
            <w:r w:rsidRPr="009B565A">
              <w:t>Low Commitment</w:t>
            </w:r>
          </w:p>
        </w:tc>
        <w:tc>
          <w:tcPr>
            <w:tcW w:w="2381" w:type="dxa"/>
            <w:shd w:val="clear" w:color="auto" w:fill="C5E0B3" w:themeFill="accent6" w:themeFillTint="66"/>
            <w:vAlign w:val="center"/>
          </w:tcPr>
          <w:p w14:paraId="7B885CAA" w14:textId="6538C15C" w:rsidR="009B565A" w:rsidRPr="009B565A" w:rsidRDefault="009B565A" w:rsidP="002C0A3B">
            <w:pPr>
              <w:pStyle w:val="ListParagraph"/>
              <w:spacing w:line="360" w:lineRule="auto"/>
              <w:ind w:left="0"/>
              <w:jc w:val="center"/>
            </w:pPr>
            <w:r w:rsidRPr="009B565A">
              <w:t>High Attention</w:t>
            </w:r>
          </w:p>
          <w:p w14:paraId="4BDB239E" w14:textId="7C1B0051" w:rsidR="009B565A" w:rsidRPr="009B565A" w:rsidRDefault="009B565A" w:rsidP="002C0A3B">
            <w:pPr>
              <w:pStyle w:val="ListParagraph"/>
              <w:spacing w:line="360" w:lineRule="auto"/>
              <w:ind w:left="0"/>
              <w:jc w:val="center"/>
            </w:pPr>
            <w:r w:rsidRPr="009B565A">
              <w:t>High Commitment</w:t>
            </w:r>
          </w:p>
        </w:tc>
      </w:tr>
      <w:tr w:rsidR="00863EA4" w14:paraId="042B9B3A" w14:textId="77777777" w:rsidTr="00863EA4">
        <w:trPr>
          <w:trHeight w:val="1356"/>
        </w:trPr>
        <w:tc>
          <w:tcPr>
            <w:tcW w:w="1994" w:type="dxa"/>
            <w:shd w:val="clear" w:color="auto" w:fill="BDD6EE" w:themeFill="accent1" w:themeFillTint="66"/>
            <w:vAlign w:val="center"/>
          </w:tcPr>
          <w:p w14:paraId="571F8948" w14:textId="35806BF7" w:rsidR="009B565A" w:rsidRPr="00863EA4" w:rsidRDefault="00863EA4" w:rsidP="002C0A3B">
            <w:pPr>
              <w:pStyle w:val="ListParagraph"/>
              <w:spacing w:line="360" w:lineRule="auto"/>
              <w:ind w:left="0"/>
              <w:jc w:val="center"/>
              <w:rPr>
                <w:b/>
              </w:rPr>
            </w:pPr>
            <w:r>
              <w:rPr>
                <w:b/>
              </w:rPr>
              <w:t xml:space="preserve">Appropriate </w:t>
            </w:r>
            <w:r w:rsidR="009B565A" w:rsidRPr="00863EA4">
              <w:rPr>
                <w:b/>
              </w:rPr>
              <w:t>Learning Theories</w:t>
            </w:r>
          </w:p>
        </w:tc>
        <w:tc>
          <w:tcPr>
            <w:tcW w:w="2380" w:type="dxa"/>
            <w:vAlign w:val="center"/>
          </w:tcPr>
          <w:p w14:paraId="6FE26F23" w14:textId="56D2B2D1" w:rsidR="009B565A" w:rsidRPr="00863EA4" w:rsidRDefault="009B565A" w:rsidP="002C0A3B">
            <w:pPr>
              <w:pStyle w:val="ListParagraph"/>
              <w:spacing w:line="360" w:lineRule="auto"/>
              <w:ind w:left="0"/>
              <w:jc w:val="center"/>
              <w:rPr>
                <w:i/>
              </w:rPr>
            </w:pPr>
            <w:r w:rsidRPr="00863EA4">
              <w:rPr>
                <w:i/>
              </w:rPr>
              <w:t>Nil</w:t>
            </w:r>
          </w:p>
        </w:tc>
        <w:tc>
          <w:tcPr>
            <w:tcW w:w="2381" w:type="dxa"/>
            <w:vAlign w:val="center"/>
          </w:tcPr>
          <w:p w14:paraId="5CCE85B4" w14:textId="5198DE60" w:rsidR="009B565A" w:rsidRPr="00863EA4" w:rsidRDefault="009B565A" w:rsidP="002C0A3B">
            <w:pPr>
              <w:pStyle w:val="ListParagraph"/>
              <w:spacing w:line="360" w:lineRule="auto"/>
              <w:ind w:left="0"/>
              <w:jc w:val="center"/>
              <w:rPr>
                <w:i/>
              </w:rPr>
            </w:pPr>
            <w:r w:rsidRPr="00863EA4">
              <w:rPr>
                <w:i/>
              </w:rPr>
              <w:t>Nil</w:t>
            </w:r>
          </w:p>
        </w:tc>
        <w:tc>
          <w:tcPr>
            <w:tcW w:w="2381" w:type="dxa"/>
            <w:shd w:val="clear" w:color="auto" w:fill="BDD6EE" w:themeFill="accent1" w:themeFillTint="66"/>
            <w:vAlign w:val="center"/>
          </w:tcPr>
          <w:p w14:paraId="79EC2B1F" w14:textId="736EEDFE" w:rsidR="009B565A" w:rsidRPr="009B565A" w:rsidRDefault="009B565A" w:rsidP="002C0A3B">
            <w:pPr>
              <w:pStyle w:val="ListParagraph"/>
              <w:spacing w:line="276" w:lineRule="auto"/>
              <w:ind w:left="0"/>
              <w:jc w:val="center"/>
            </w:pPr>
            <w:r w:rsidRPr="009B565A">
              <w:t>Behaviourism</w:t>
            </w:r>
          </w:p>
        </w:tc>
        <w:tc>
          <w:tcPr>
            <w:tcW w:w="2381" w:type="dxa"/>
            <w:shd w:val="clear" w:color="auto" w:fill="BDD6EE" w:themeFill="accent1" w:themeFillTint="66"/>
            <w:vAlign w:val="center"/>
          </w:tcPr>
          <w:p w14:paraId="743F3134" w14:textId="01AD2D3A" w:rsidR="009B565A" w:rsidRPr="009B565A" w:rsidRDefault="009B565A" w:rsidP="002C0A3B">
            <w:pPr>
              <w:pStyle w:val="ListParagraph"/>
              <w:spacing w:line="276" w:lineRule="auto"/>
              <w:ind w:left="0"/>
              <w:jc w:val="center"/>
            </w:pPr>
            <w:r w:rsidRPr="009B565A">
              <w:t>Constructivism</w:t>
            </w:r>
          </w:p>
        </w:tc>
        <w:tc>
          <w:tcPr>
            <w:tcW w:w="2381" w:type="dxa"/>
            <w:shd w:val="clear" w:color="auto" w:fill="BDD6EE" w:themeFill="accent1" w:themeFillTint="66"/>
            <w:vAlign w:val="center"/>
          </w:tcPr>
          <w:p w14:paraId="46BDFB77" w14:textId="413B1617" w:rsidR="00644ED1" w:rsidRDefault="009B565A" w:rsidP="002C0A3B">
            <w:pPr>
              <w:spacing w:line="360" w:lineRule="auto"/>
              <w:jc w:val="center"/>
            </w:pPr>
            <w:r>
              <w:t>Cosmopolit</w:t>
            </w:r>
            <w:r w:rsidR="00211699">
              <w:t>an</w:t>
            </w:r>
            <w:r>
              <w:t>ism</w:t>
            </w:r>
          </w:p>
          <w:p w14:paraId="374F9C4A" w14:textId="75B870BB" w:rsidR="009B565A" w:rsidRPr="009B565A" w:rsidRDefault="00D63C99" w:rsidP="002C0A3B">
            <w:pPr>
              <w:spacing w:line="360" w:lineRule="auto"/>
              <w:jc w:val="center"/>
            </w:pPr>
            <w:r>
              <w:t>&amp;</w:t>
            </w:r>
            <w:r w:rsidR="00644ED1">
              <w:t xml:space="preserve"> </w:t>
            </w:r>
            <w:r w:rsidR="009B565A" w:rsidRPr="009B565A">
              <w:t>Enactivism</w:t>
            </w:r>
          </w:p>
        </w:tc>
      </w:tr>
      <w:tr w:rsidR="00644ED1" w14:paraId="47279D1F" w14:textId="77777777" w:rsidTr="00863EA4">
        <w:trPr>
          <w:trHeight w:val="1356"/>
        </w:trPr>
        <w:tc>
          <w:tcPr>
            <w:tcW w:w="1994" w:type="dxa"/>
            <w:shd w:val="clear" w:color="auto" w:fill="F7CAAC" w:themeFill="accent2" w:themeFillTint="66"/>
            <w:vAlign w:val="center"/>
          </w:tcPr>
          <w:p w14:paraId="17EEB978" w14:textId="30FE5681" w:rsidR="00644ED1" w:rsidRPr="00863EA4" w:rsidRDefault="00644ED1" w:rsidP="009B565A">
            <w:pPr>
              <w:pStyle w:val="ListParagraph"/>
              <w:spacing w:before="120" w:after="120" w:line="360" w:lineRule="auto"/>
              <w:ind w:left="0"/>
              <w:jc w:val="center"/>
              <w:rPr>
                <w:b/>
              </w:rPr>
            </w:pPr>
            <w:r w:rsidRPr="00863EA4">
              <w:rPr>
                <w:b/>
              </w:rPr>
              <w:t>Characteristics</w:t>
            </w:r>
            <w:r>
              <w:rPr>
                <w:b/>
              </w:rPr>
              <w:t xml:space="preserve"> of Learning Theories</w:t>
            </w:r>
          </w:p>
        </w:tc>
        <w:tc>
          <w:tcPr>
            <w:tcW w:w="2380" w:type="dxa"/>
            <w:vMerge w:val="restart"/>
            <w:vAlign w:val="center"/>
          </w:tcPr>
          <w:p w14:paraId="3C4DE951" w14:textId="6C920D3A" w:rsidR="00644ED1" w:rsidRPr="00863EA4" w:rsidRDefault="00644ED1" w:rsidP="009B565A">
            <w:pPr>
              <w:pStyle w:val="ListParagraph"/>
              <w:spacing w:before="120" w:after="120"/>
              <w:ind w:left="0"/>
              <w:rPr>
                <w:i/>
                <w:sz w:val="20"/>
                <w:szCs w:val="20"/>
              </w:rPr>
            </w:pPr>
            <w:r w:rsidRPr="00863EA4">
              <w:rPr>
                <w:i/>
                <w:sz w:val="20"/>
                <w:szCs w:val="20"/>
              </w:rPr>
              <w:t xml:space="preserve">Behaviour Management </w:t>
            </w:r>
            <w:r>
              <w:rPr>
                <w:i/>
                <w:sz w:val="20"/>
                <w:szCs w:val="20"/>
              </w:rPr>
              <w:t xml:space="preserve">and Wellbeing </w:t>
            </w:r>
            <w:r w:rsidRPr="00863EA4">
              <w:rPr>
                <w:i/>
                <w:sz w:val="20"/>
                <w:szCs w:val="20"/>
              </w:rPr>
              <w:t>strategies used to move students towards Retreatism</w:t>
            </w:r>
          </w:p>
        </w:tc>
        <w:tc>
          <w:tcPr>
            <w:tcW w:w="2381" w:type="dxa"/>
            <w:vMerge w:val="restart"/>
            <w:vAlign w:val="center"/>
          </w:tcPr>
          <w:p w14:paraId="13FC8F29" w14:textId="5BCFE800" w:rsidR="00644ED1" w:rsidRPr="00863EA4" w:rsidRDefault="00644ED1" w:rsidP="009B565A">
            <w:pPr>
              <w:pStyle w:val="ListParagraph"/>
              <w:spacing w:before="120" w:after="120"/>
              <w:ind w:left="0"/>
              <w:rPr>
                <w:i/>
                <w:sz w:val="20"/>
                <w:szCs w:val="20"/>
              </w:rPr>
            </w:pPr>
            <w:r w:rsidRPr="00863EA4">
              <w:rPr>
                <w:i/>
                <w:sz w:val="20"/>
                <w:szCs w:val="20"/>
              </w:rPr>
              <w:t xml:space="preserve">High Classroom Expectations </w:t>
            </w:r>
            <w:r>
              <w:rPr>
                <w:i/>
                <w:sz w:val="20"/>
                <w:szCs w:val="20"/>
              </w:rPr>
              <w:t xml:space="preserve">and Wellbeing strategies </w:t>
            </w:r>
            <w:r w:rsidRPr="00863EA4">
              <w:rPr>
                <w:i/>
                <w:sz w:val="20"/>
                <w:szCs w:val="20"/>
              </w:rPr>
              <w:t>used to move students towards Ritual Compliance</w:t>
            </w:r>
          </w:p>
        </w:tc>
        <w:tc>
          <w:tcPr>
            <w:tcW w:w="2381" w:type="dxa"/>
            <w:shd w:val="clear" w:color="auto" w:fill="F7CAAC" w:themeFill="accent2" w:themeFillTint="66"/>
            <w:vAlign w:val="center"/>
          </w:tcPr>
          <w:p w14:paraId="5B0CDD5A" w14:textId="1D002643" w:rsidR="00644ED1" w:rsidRPr="009B565A" w:rsidRDefault="00644ED1" w:rsidP="009B565A">
            <w:pPr>
              <w:pStyle w:val="ListParagraph"/>
              <w:spacing w:before="120" w:after="120" w:line="276" w:lineRule="auto"/>
              <w:ind w:left="0"/>
            </w:pPr>
            <w:r>
              <w:t xml:space="preserve">Direct transmission of knowledge </w:t>
            </w:r>
            <w:r w:rsidRPr="003C63E6">
              <w:rPr>
                <w:i/>
              </w:rPr>
              <w:t>from</w:t>
            </w:r>
            <w:r>
              <w:t xml:space="preserve"> </w:t>
            </w:r>
            <w:r w:rsidRPr="00644ED1">
              <w:rPr>
                <w:i/>
              </w:rPr>
              <w:t>the</w:t>
            </w:r>
            <w:r>
              <w:t xml:space="preserve"> </w:t>
            </w:r>
            <w:r w:rsidRPr="00644ED1">
              <w:rPr>
                <w:i/>
              </w:rPr>
              <w:t>teacher</w:t>
            </w:r>
          </w:p>
        </w:tc>
        <w:tc>
          <w:tcPr>
            <w:tcW w:w="2381" w:type="dxa"/>
            <w:shd w:val="clear" w:color="auto" w:fill="F7CAAC" w:themeFill="accent2" w:themeFillTint="66"/>
            <w:vAlign w:val="center"/>
          </w:tcPr>
          <w:p w14:paraId="1794AE26" w14:textId="18A214AE" w:rsidR="00644ED1" w:rsidRPr="009B565A" w:rsidRDefault="00644ED1" w:rsidP="00644ED1">
            <w:pPr>
              <w:pStyle w:val="ListParagraph"/>
              <w:spacing w:before="120" w:after="120" w:line="276" w:lineRule="auto"/>
              <w:ind w:left="0"/>
            </w:pPr>
            <w:r>
              <w:t xml:space="preserve">Learning </w:t>
            </w:r>
            <w:r w:rsidRPr="003C63E6">
              <w:rPr>
                <w:i/>
              </w:rPr>
              <w:t xml:space="preserve">from </w:t>
            </w:r>
            <w:r w:rsidRPr="00644ED1">
              <w:rPr>
                <w:i/>
              </w:rPr>
              <w:t>the world</w:t>
            </w:r>
            <w:r>
              <w:t>, (ie from sources beyond the teacher)</w:t>
            </w:r>
          </w:p>
        </w:tc>
        <w:tc>
          <w:tcPr>
            <w:tcW w:w="2381" w:type="dxa"/>
            <w:shd w:val="clear" w:color="auto" w:fill="F7CAAC" w:themeFill="accent2" w:themeFillTint="66"/>
            <w:vAlign w:val="center"/>
          </w:tcPr>
          <w:p w14:paraId="3DE9A339" w14:textId="29705ECD" w:rsidR="00644ED1" w:rsidRPr="009B565A" w:rsidRDefault="00644ED1" w:rsidP="00D63C99">
            <w:pPr>
              <w:spacing w:before="120" w:after="120" w:line="276" w:lineRule="auto"/>
            </w:pPr>
            <w:r>
              <w:t xml:space="preserve">Learning </w:t>
            </w:r>
            <w:r w:rsidRPr="00644ED1">
              <w:rPr>
                <w:i/>
              </w:rPr>
              <w:t>from</w:t>
            </w:r>
            <w:r>
              <w:t xml:space="preserve"> the world, collaboratively with peers (Cosmopolitism), and through i</w:t>
            </w:r>
            <w:r w:rsidRPr="00644ED1">
              <w:rPr>
                <w:i/>
              </w:rPr>
              <w:t>nteraction with</w:t>
            </w:r>
            <w:r>
              <w:t xml:space="preserve"> the world (Enactivism)</w:t>
            </w:r>
          </w:p>
        </w:tc>
      </w:tr>
      <w:tr w:rsidR="00644ED1" w14:paraId="30CB966F" w14:textId="77777777" w:rsidTr="00644ED1">
        <w:trPr>
          <w:trHeight w:val="1356"/>
        </w:trPr>
        <w:tc>
          <w:tcPr>
            <w:tcW w:w="1994" w:type="dxa"/>
            <w:shd w:val="clear" w:color="auto" w:fill="E498E2"/>
            <w:vAlign w:val="center"/>
          </w:tcPr>
          <w:p w14:paraId="2CC5F18C" w14:textId="0D56E3D7" w:rsidR="00644ED1" w:rsidRPr="00863EA4" w:rsidRDefault="00644ED1" w:rsidP="009B565A">
            <w:pPr>
              <w:pStyle w:val="ListParagraph"/>
              <w:spacing w:before="120" w:after="120" w:line="360" w:lineRule="auto"/>
              <w:ind w:left="0"/>
              <w:jc w:val="center"/>
              <w:rPr>
                <w:b/>
              </w:rPr>
            </w:pPr>
            <w:r>
              <w:rPr>
                <w:b/>
              </w:rPr>
              <w:t>Examples of Instructional Techniques</w:t>
            </w:r>
          </w:p>
        </w:tc>
        <w:tc>
          <w:tcPr>
            <w:tcW w:w="2380" w:type="dxa"/>
            <w:vMerge/>
            <w:vAlign w:val="center"/>
          </w:tcPr>
          <w:p w14:paraId="40D052B7" w14:textId="77777777" w:rsidR="00644ED1" w:rsidRPr="00863EA4" w:rsidRDefault="00644ED1" w:rsidP="009B565A">
            <w:pPr>
              <w:pStyle w:val="ListParagraph"/>
              <w:spacing w:before="120" w:after="120"/>
              <w:ind w:left="0"/>
              <w:rPr>
                <w:i/>
                <w:sz w:val="20"/>
                <w:szCs w:val="20"/>
              </w:rPr>
            </w:pPr>
          </w:p>
        </w:tc>
        <w:tc>
          <w:tcPr>
            <w:tcW w:w="2381" w:type="dxa"/>
            <w:vMerge/>
            <w:vAlign w:val="center"/>
          </w:tcPr>
          <w:p w14:paraId="1301FB91" w14:textId="77777777" w:rsidR="00644ED1" w:rsidRPr="00863EA4" w:rsidRDefault="00644ED1" w:rsidP="009B565A">
            <w:pPr>
              <w:pStyle w:val="ListParagraph"/>
              <w:spacing w:before="120" w:after="120"/>
              <w:ind w:left="0"/>
              <w:rPr>
                <w:i/>
                <w:sz w:val="20"/>
                <w:szCs w:val="20"/>
              </w:rPr>
            </w:pPr>
          </w:p>
        </w:tc>
        <w:tc>
          <w:tcPr>
            <w:tcW w:w="2381" w:type="dxa"/>
            <w:shd w:val="clear" w:color="auto" w:fill="E498E2"/>
            <w:vAlign w:val="center"/>
          </w:tcPr>
          <w:p w14:paraId="3C83A6F4" w14:textId="7654C318" w:rsidR="00211699" w:rsidRDefault="00694116" w:rsidP="009B565A">
            <w:pPr>
              <w:pStyle w:val="ListParagraph"/>
              <w:spacing w:before="120" w:after="120" w:line="276" w:lineRule="auto"/>
              <w:ind w:left="0"/>
            </w:pPr>
            <w:r>
              <w:t>Programmed</w:t>
            </w:r>
            <w:r w:rsidR="00644ED1">
              <w:t xml:space="preserve"> Instruction</w:t>
            </w:r>
            <w:r w:rsidR="00211699">
              <w:t>,</w:t>
            </w:r>
          </w:p>
          <w:p w14:paraId="4E1CAF49" w14:textId="29DFAAEC" w:rsidR="00644ED1" w:rsidRDefault="00211699" w:rsidP="009B565A">
            <w:pPr>
              <w:pStyle w:val="ListParagraph"/>
              <w:spacing w:before="120" w:after="120" w:line="276" w:lineRule="auto"/>
              <w:ind w:left="0"/>
            </w:pPr>
            <w:r>
              <w:t>Differentiation</w:t>
            </w:r>
          </w:p>
        </w:tc>
        <w:tc>
          <w:tcPr>
            <w:tcW w:w="2381" w:type="dxa"/>
            <w:shd w:val="clear" w:color="auto" w:fill="E498E2"/>
            <w:vAlign w:val="center"/>
          </w:tcPr>
          <w:p w14:paraId="5E1C567D" w14:textId="2CCD711F" w:rsidR="00644ED1" w:rsidRDefault="00211699" w:rsidP="00211699">
            <w:pPr>
              <w:pStyle w:val="ListParagraph"/>
              <w:spacing w:line="276" w:lineRule="auto"/>
              <w:ind w:left="0"/>
            </w:pPr>
            <w:r>
              <w:t>Discovery Learning,</w:t>
            </w:r>
          </w:p>
          <w:p w14:paraId="3D7D538B" w14:textId="6865F11C" w:rsidR="00211699" w:rsidRDefault="00211699" w:rsidP="00211699">
            <w:pPr>
              <w:pStyle w:val="ListParagraph"/>
              <w:spacing w:line="276" w:lineRule="auto"/>
              <w:ind w:left="0"/>
            </w:pPr>
            <w:r>
              <w:t>Learning Intentions</w:t>
            </w:r>
          </w:p>
        </w:tc>
        <w:tc>
          <w:tcPr>
            <w:tcW w:w="2381" w:type="dxa"/>
            <w:shd w:val="clear" w:color="auto" w:fill="E498E2"/>
            <w:vAlign w:val="center"/>
          </w:tcPr>
          <w:p w14:paraId="04ACDADB" w14:textId="60798069" w:rsidR="00211699" w:rsidRDefault="00211699" w:rsidP="00211699">
            <w:pPr>
              <w:spacing w:line="276" w:lineRule="auto"/>
            </w:pPr>
            <w:r>
              <w:t>PBL,</w:t>
            </w:r>
          </w:p>
          <w:p w14:paraId="0BFAD50A" w14:textId="4E3DE852" w:rsidR="00644ED1" w:rsidRDefault="00644ED1" w:rsidP="00211699">
            <w:pPr>
              <w:spacing w:line="276" w:lineRule="auto"/>
            </w:pPr>
            <w:r>
              <w:t>Personalisation</w:t>
            </w:r>
          </w:p>
        </w:tc>
      </w:tr>
    </w:tbl>
    <w:p w14:paraId="57046F8B" w14:textId="50E62F95" w:rsidR="009B565A" w:rsidRPr="00644ED1" w:rsidRDefault="00644ED1" w:rsidP="00644ED1">
      <w:pPr>
        <w:pStyle w:val="ListParagraph"/>
        <w:spacing w:before="120" w:after="120" w:line="360" w:lineRule="auto"/>
        <w:rPr>
          <w:b/>
        </w:rPr>
        <w:sectPr w:rsidR="009B565A" w:rsidRPr="00644ED1" w:rsidSect="00D56A93">
          <w:pgSz w:w="16840" w:h="11900" w:orient="landscape"/>
          <w:pgMar w:top="1440" w:right="1440" w:bottom="1440" w:left="1440" w:header="708" w:footer="708" w:gutter="0"/>
          <w:cols w:space="708"/>
          <w:titlePg/>
          <w:docGrid w:linePitch="360"/>
        </w:sectPr>
      </w:pPr>
      <w:r w:rsidRPr="00644ED1">
        <w:rPr>
          <w:b/>
        </w:rPr>
        <w:t>Table 1: Student Engagement and some appropriate Learning Theories (&amp;Techniques)</w:t>
      </w:r>
      <w:sdt>
        <w:sdtPr>
          <w:rPr>
            <w:b/>
          </w:rPr>
          <w:id w:val="615650966"/>
          <w:citation/>
        </w:sdtPr>
        <w:sdtEndPr/>
        <w:sdtContent>
          <w:r w:rsidR="00211699">
            <w:rPr>
              <w:b/>
            </w:rPr>
            <w:fldChar w:fldCharType="begin"/>
          </w:r>
          <w:r w:rsidR="00211699">
            <w:rPr>
              <w:b/>
            </w:rPr>
            <w:instrText xml:space="preserve"> CITATION Sch15 \l 3081 </w:instrText>
          </w:r>
          <w:r w:rsidR="00211699">
            <w:rPr>
              <w:b/>
            </w:rPr>
            <w:fldChar w:fldCharType="separate"/>
          </w:r>
          <w:r w:rsidR="008D0FE2">
            <w:rPr>
              <w:b/>
              <w:noProof/>
            </w:rPr>
            <w:t xml:space="preserve"> </w:t>
          </w:r>
          <w:r w:rsidR="008D0FE2">
            <w:rPr>
              <w:noProof/>
            </w:rPr>
            <w:t>(Schlechty, 2011)</w:t>
          </w:r>
          <w:r w:rsidR="00211699">
            <w:rPr>
              <w:b/>
            </w:rPr>
            <w:fldChar w:fldCharType="end"/>
          </w:r>
        </w:sdtContent>
      </w:sdt>
      <w:sdt>
        <w:sdtPr>
          <w:rPr>
            <w:b/>
          </w:rPr>
          <w:id w:val="-157845053"/>
          <w:citation/>
        </w:sdtPr>
        <w:sdtEndPr/>
        <w:sdtContent>
          <w:r w:rsidR="00211699">
            <w:rPr>
              <w:b/>
            </w:rPr>
            <w:fldChar w:fldCharType="begin"/>
          </w:r>
          <w:r w:rsidR="00211699">
            <w:rPr>
              <w:b/>
            </w:rPr>
            <w:instrText xml:space="preserve"> CITATION Sch08 \l 3081 </w:instrText>
          </w:r>
          <w:r w:rsidR="00211699">
            <w:rPr>
              <w:b/>
            </w:rPr>
            <w:fldChar w:fldCharType="separate"/>
          </w:r>
          <w:r w:rsidR="008D0FE2">
            <w:rPr>
              <w:b/>
              <w:noProof/>
            </w:rPr>
            <w:t xml:space="preserve"> </w:t>
          </w:r>
          <w:r w:rsidR="008D0FE2">
            <w:rPr>
              <w:noProof/>
            </w:rPr>
            <w:t>(Schuh &amp; Barab, 2008)</w:t>
          </w:r>
          <w:r w:rsidR="00211699">
            <w:rPr>
              <w:b/>
            </w:rPr>
            <w:fldChar w:fldCharType="end"/>
          </w:r>
        </w:sdtContent>
      </w:sdt>
    </w:p>
    <w:p w14:paraId="5E0FFBA2" w14:textId="51CE844F" w:rsidR="00114276" w:rsidRDefault="00114276" w:rsidP="00B65237">
      <w:pPr>
        <w:pStyle w:val="Heading1"/>
        <w:numPr>
          <w:ilvl w:val="0"/>
          <w:numId w:val="11"/>
        </w:numPr>
      </w:pPr>
      <w:bookmarkStart w:id="9" w:name="_Toc430900489"/>
      <w:r>
        <w:t xml:space="preserve">Critical </w:t>
      </w:r>
      <w:r w:rsidR="00386115">
        <w:t>Reflection on Practice</w:t>
      </w:r>
      <w:r w:rsidR="00BD1FFD">
        <w:t>s</w:t>
      </w:r>
      <w:bookmarkEnd w:id="9"/>
    </w:p>
    <w:p w14:paraId="263555D6" w14:textId="77777777" w:rsidR="00114276" w:rsidRDefault="00114276" w:rsidP="00B65237">
      <w:pPr>
        <w:pStyle w:val="Heading1"/>
        <w:numPr>
          <w:ilvl w:val="1"/>
          <w:numId w:val="11"/>
        </w:numPr>
      </w:pPr>
      <w:bookmarkStart w:id="10" w:name="_Toc430900490"/>
      <w:r>
        <w:t>Context</w:t>
      </w:r>
      <w:bookmarkEnd w:id="10"/>
    </w:p>
    <w:p w14:paraId="78CB66C1" w14:textId="79FC8EEF" w:rsidR="00D14400" w:rsidRDefault="00D14400" w:rsidP="00B65237">
      <w:pPr>
        <w:pStyle w:val="ListParagraph"/>
        <w:spacing w:before="120" w:after="120" w:line="360" w:lineRule="auto"/>
      </w:pPr>
      <w:r>
        <w:t xml:space="preserve">At my previous school, I was the Physics teacher and Head of Science.  It was a </w:t>
      </w:r>
      <w:r w:rsidR="00B305BD">
        <w:t>medium sized rural state high school in Queensland, with a student population of about 900.  The school, at the time, was the only high school in the district, and so catered for all students, across a broad range of socio-economic groups and academic ability.  The school had an indigenous population of about 5%, with a very small number of students from a Non-English Speaking Background.</w:t>
      </w:r>
    </w:p>
    <w:p w14:paraId="7EB34195" w14:textId="03C36D3A" w:rsidR="00B305BD" w:rsidRDefault="00B305BD" w:rsidP="00B65237">
      <w:pPr>
        <w:pStyle w:val="ListParagraph"/>
        <w:spacing w:before="120" w:after="120" w:line="360" w:lineRule="auto"/>
      </w:pPr>
      <w:r>
        <w:t>Under the previous Principal</w:t>
      </w:r>
      <w:r w:rsidR="004071CA">
        <w:t>,</w:t>
      </w:r>
      <w:r>
        <w:t xml:space="preserve"> the school had introduced a 1 to 1 la</w:t>
      </w:r>
      <w:r w:rsidR="00FD3734">
        <w:t>ptop program, with about a 95</w:t>
      </w:r>
      <w:r>
        <w:t>% uptake amongst students.  Staff professional development was focused on developing innovative teaching practices, and integrating eLearning into all teaching areas</w:t>
      </w:r>
      <w:r w:rsidR="004438F7">
        <w:t>.</w:t>
      </w:r>
      <w:r w:rsidR="001D4CF1">
        <w:t xml:space="preserve">  No specific pedagogy framework was implemented school wide, although there were a range of instructional techniques and planning frameworks implemented, including eLearning strategies, 21 Century Learning Design, and Personalisation.</w:t>
      </w:r>
      <w:sdt>
        <w:sdtPr>
          <w:id w:val="-1727291652"/>
          <w:citation/>
        </w:sdtPr>
        <w:sdtEndPr/>
        <w:sdtContent>
          <w:r w:rsidR="001D4CF1">
            <w:fldChar w:fldCharType="begin"/>
          </w:r>
          <w:r w:rsidR="001D4CF1">
            <w:instrText xml:space="preserve"> CITATION Mic15 \l 3081 </w:instrText>
          </w:r>
          <w:r w:rsidR="001D4CF1">
            <w:fldChar w:fldCharType="separate"/>
          </w:r>
          <w:r w:rsidR="001D4CF1">
            <w:rPr>
              <w:noProof/>
            </w:rPr>
            <w:t xml:space="preserve"> (Microsoft Educator Network, 2015)</w:t>
          </w:r>
          <w:r w:rsidR="001D4CF1">
            <w:fldChar w:fldCharType="end"/>
          </w:r>
        </w:sdtContent>
      </w:sdt>
      <w:r w:rsidR="001D4CF1">
        <w:t xml:space="preserve">.  </w:t>
      </w:r>
    </w:p>
    <w:p w14:paraId="4BDC43E7" w14:textId="0D7BE183" w:rsidR="001D4CF1" w:rsidRDefault="00377D6F" w:rsidP="00B65237">
      <w:pPr>
        <w:pStyle w:val="ListParagraph"/>
        <w:spacing w:before="120" w:after="120" w:line="360" w:lineRule="auto"/>
      </w:pPr>
      <w:r>
        <w:t xml:space="preserve">During this period of time, the school’s NAPLAN results were amongst the highest in the Region, although the Region itself </w:t>
      </w:r>
      <w:r w:rsidR="00FD3734">
        <w:t>was the worst performing R</w:t>
      </w:r>
      <w:r>
        <w:t xml:space="preserve">egion in the state.  Data from the annual School Opinion Survey showed that the </w:t>
      </w:r>
      <w:r w:rsidR="007C0E99">
        <w:t>staff were very comfortable in the use of technology and eLearning pedagogies, amongst the top in the state</w:t>
      </w:r>
      <w:r>
        <w:t xml:space="preserve">.  I </w:t>
      </w:r>
      <w:r w:rsidR="001D4CF1">
        <w:t>started collect</w:t>
      </w:r>
      <w:r>
        <w:t xml:space="preserve">ing data on student engagement </w:t>
      </w:r>
      <w:r w:rsidR="001D4CF1">
        <w:t>at the end of this period</w:t>
      </w:r>
      <w:r>
        <w:t xml:space="preserve">, using </w:t>
      </w:r>
      <w:r w:rsidR="00230F2B">
        <w:t xml:space="preserve">the Partners in Learning School Research report, </w:t>
      </w:r>
      <w:r>
        <w:t xml:space="preserve">provided by the Microsoft </w:t>
      </w:r>
      <w:r w:rsidR="00230F2B">
        <w:t>Educator Network</w:t>
      </w:r>
      <w:sdt>
        <w:sdtPr>
          <w:id w:val="393316499"/>
          <w:citation/>
        </w:sdtPr>
        <w:sdtEndPr/>
        <w:sdtContent>
          <w:r w:rsidR="00230F2B">
            <w:fldChar w:fldCharType="begin"/>
          </w:r>
          <w:r w:rsidR="00230F2B">
            <w:instrText xml:space="preserve"> CITATION Mic151 \l 3081 </w:instrText>
          </w:r>
          <w:r w:rsidR="00230F2B">
            <w:fldChar w:fldCharType="separate"/>
          </w:r>
          <w:r w:rsidR="00230F2B">
            <w:rPr>
              <w:noProof/>
            </w:rPr>
            <w:t xml:space="preserve"> (Microsoft Educator Network, 2015)</w:t>
          </w:r>
          <w:r w:rsidR="00230F2B">
            <w:fldChar w:fldCharType="end"/>
          </w:r>
        </w:sdtContent>
      </w:sdt>
      <w:r w:rsidR="001D4CF1">
        <w:t>.</w:t>
      </w:r>
      <w:r w:rsidR="00511740">
        <w:t xml:space="preserve">  The data can be seen in Appendix A.</w:t>
      </w:r>
    </w:p>
    <w:p w14:paraId="672AC05E" w14:textId="3E1DC1CC" w:rsidR="00114276" w:rsidRPr="00B65237" w:rsidRDefault="00114276" w:rsidP="00B65237">
      <w:pPr>
        <w:pStyle w:val="Heading1"/>
        <w:numPr>
          <w:ilvl w:val="1"/>
          <w:numId w:val="11"/>
        </w:numPr>
      </w:pPr>
      <w:bookmarkStart w:id="11" w:name="_Toc430900491"/>
      <w:r w:rsidRPr="00B65237">
        <w:t>Reflection</w:t>
      </w:r>
      <w:r w:rsidR="004046EA" w:rsidRPr="00B65237">
        <w:t xml:space="preserve"> on </w:t>
      </w:r>
      <w:r w:rsidR="001058E4" w:rsidRPr="00B65237">
        <w:t>current practices</w:t>
      </w:r>
      <w:bookmarkEnd w:id="11"/>
    </w:p>
    <w:p w14:paraId="52E83B9B" w14:textId="7CAAB1E2" w:rsidR="004046EA" w:rsidRDefault="004046EA" w:rsidP="00B65237">
      <w:pPr>
        <w:spacing w:before="120" w:after="120" w:line="360" w:lineRule="auto"/>
        <w:ind w:left="792"/>
      </w:pPr>
      <w:r>
        <w:t>The current Princ</w:t>
      </w:r>
      <w:r w:rsidR="001058E4">
        <w:t>ipal</w:t>
      </w:r>
      <w:r w:rsidR="004071CA">
        <w:t xml:space="preserve"> </w:t>
      </w:r>
      <w:r w:rsidR="00660957">
        <w:t>has b</w:t>
      </w:r>
      <w:r w:rsidR="004071CA">
        <w:t>e</w:t>
      </w:r>
      <w:r w:rsidR="00511740">
        <w:t>en in the role since July</w:t>
      </w:r>
      <w:r w:rsidR="004071CA">
        <w:t xml:space="preserve"> 2012</w:t>
      </w:r>
      <w:r w:rsidR="00660957">
        <w:t xml:space="preserve">.  On arrival, he </w:t>
      </w:r>
      <w:r w:rsidR="001058E4">
        <w:t xml:space="preserve">implemented a range of </w:t>
      </w:r>
      <w:r w:rsidR="00660957">
        <w:t>schoolwide processes</w:t>
      </w:r>
      <w:r w:rsidR="00B46D00">
        <w:t xml:space="preserve"> intended to improve school results by providing consistency of practice, and ensuring students were on task.  The three key processes were</w:t>
      </w:r>
    </w:p>
    <w:p w14:paraId="74179BFF" w14:textId="5DE41227" w:rsidR="00B46D00" w:rsidRDefault="00B46D00" w:rsidP="00B46D00">
      <w:pPr>
        <w:pStyle w:val="ListParagraph"/>
        <w:numPr>
          <w:ilvl w:val="0"/>
          <w:numId w:val="9"/>
        </w:numPr>
        <w:spacing w:before="120" w:after="120" w:line="360" w:lineRule="auto"/>
      </w:pPr>
      <w:r>
        <w:t>High Classroom Expectations. All students are expected to be on task and follow teacher directions at all times. Students who fail to follow clear directions or attempt work are immediately collected from the classroom by a Behaviour Management Teacher or other school leader.</w:t>
      </w:r>
    </w:p>
    <w:p w14:paraId="74F7B4E8" w14:textId="70A83907" w:rsidR="00B46D00" w:rsidRDefault="00B46D00" w:rsidP="00B46D00">
      <w:pPr>
        <w:pStyle w:val="ListParagraph"/>
        <w:numPr>
          <w:ilvl w:val="0"/>
          <w:numId w:val="9"/>
        </w:numPr>
        <w:spacing w:before="120" w:after="120" w:line="360" w:lineRule="auto"/>
      </w:pPr>
      <w:r>
        <w:t>Explicit Instruction pedagogy framework.  Characterised by a three stage lesson of “I Do, We Do, You Do”</w:t>
      </w:r>
      <w:r w:rsidR="00E822B4">
        <w:t>. This graduated</w:t>
      </w:r>
      <w:r>
        <w:t xml:space="preserve"> release of responsibility from teacher to student, with clear modelling, ensures students understand what is expected in each lesson.</w:t>
      </w:r>
    </w:p>
    <w:p w14:paraId="215BCA58" w14:textId="7A623829" w:rsidR="00B46D00" w:rsidRDefault="004071CA" w:rsidP="00B46D00">
      <w:pPr>
        <w:pStyle w:val="ListParagraph"/>
        <w:numPr>
          <w:ilvl w:val="0"/>
          <w:numId w:val="9"/>
        </w:numPr>
        <w:spacing w:before="120" w:after="120" w:line="360" w:lineRule="auto"/>
      </w:pPr>
      <w:r>
        <w:t>Learning Intentions and Success Criteria.  Each lesson starts with a clear, retrievable statement of intent for the lesson from the teacher, along with criteria allowing students to judge their success.  These are visible during the whole of each lesson, and revisited at the end of the lesson, allowing students to reflect on their success each lesson.</w:t>
      </w:r>
    </w:p>
    <w:p w14:paraId="475C3C89" w14:textId="4D21712E" w:rsidR="004071CA" w:rsidRDefault="00D56A93" w:rsidP="00B65237">
      <w:pPr>
        <w:spacing w:before="120" w:after="120" w:line="360" w:lineRule="auto"/>
        <w:ind w:left="720"/>
      </w:pPr>
      <w:r>
        <w:t>The</w:t>
      </w:r>
      <w:r w:rsidR="004071CA">
        <w:t xml:space="preserve"> processes above have a strong base in both </w:t>
      </w:r>
      <w:r>
        <w:t>Behaviourist</w:t>
      </w:r>
      <w:r w:rsidR="004071CA">
        <w:t xml:space="preserve"> and Constructivist Learning Theories.  Learning is </w:t>
      </w:r>
      <w:r>
        <w:t xml:space="preserve">very much an individual activity, with </w:t>
      </w:r>
      <w:r w:rsidR="00511740">
        <w:t>some opportunity</w:t>
      </w:r>
      <w:r>
        <w:t xml:space="preserve"> for collaboration with peers, </w:t>
      </w:r>
      <w:r w:rsidR="00511740">
        <w:t>but</w:t>
      </w:r>
      <w:r>
        <w:t xml:space="preserve"> with</w:t>
      </w:r>
      <w:r w:rsidR="00511740">
        <w:t>out</w:t>
      </w:r>
      <w:r>
        <w:t xml:space="preserve"> significant interaction with the world outside of the classroom.  In addition</w:t>
      </w:r>
      <w:r w:rsidR="00511740">
        <w:t>,</w:t>
      </w:r>
      <w:r>
        <w:t xml:space="preserve"> there is a clear priority given to reducing interruptions to the regular timetable imposed by excursions and co-curricular activities.  During the implementation of these processes, the focus on eLearning and innovative instructional techniques has been very low.  </w:t>
      </w:r>
    </w:p>
    <w:p w14:paraId="768B1F52" w14:textId="193DCF5D" w:rsidR="00D56A93" w:rsidRDefault="00D56A93" w:rsidP="00B65237">
      <w:pPr>
        <w:spacing w:before="120" w:after="120" w:line="360" w:lineRule="auto"/>
        <w:ind w:left="720"/>
      </w:pPr>
      <w:r>
        <w:t xml:space="preserve">Referring to Table 1 </w:t>
      </w:r>
      <w:r w:rsidR="00B65237">
        <w:t>(p8</w:t>
      </w:r>
      <w:r>
        <w:t>), it can be seen that the three schoolwide processes above work well to move students from Retreatism to Ritual Compliance (High Classroom Expectations), and from Ritual Compliance to Strategic Compliance (Explicit Instruction and Lear</w:t>
      </w:r>
      <w:r w:rsidR="000C1589">
        <w:t xml:space="preserve">ning Intentions), however there is no longer a focus on </w:t>
      </w:r>
      <w:r w:rsidR="00E822B4">
        <w:t>instructional techniques that can be used to engage students authentically.  During the initial implementation of these processes, my initial thoughts were that while there may be an improvement in NAPLAN results, there would overall be a reduction in authentic engagement by our students.</w:t>
      </w:r>
    </w:p>
    <w:p w14:paraId="0F15F736" w14:textId="16FFDD89" w:rsidR="00E822B4" w:rsidRDefault="00230F2B" w:rsidP="00B65237">
      <w:pPr>
        <w:spacing w:before="120" w:after="120" w:line="360" w:lineRule="auto"/>
        <w:ind w:left="720"/>
      </w:pPr>
      <w:r w:rsidRPr="00E822B4">
        <w:rPr>
          <w:noProof/>
          <w:lang w:val="en-US"/>
        </w:rPr>
        <w:drawing>
          <wp:anchor distT="0" distB="0" distL="114300" distR="114300" simplePos="0" relativeHeight="251659264" behindDoc="0" locked="0" layoutInCell="1" allowOverlap="1" wp14:anchorId="546DDDCA" wp14:editId="50EC3BF8">
            <wp:simplePos x="0" y="0"/>
            <wp:positionH relativeFrom="column">
              <wp:posOffset>392430</wp:posOffset>
            </wp:positionH>
            <wp:positionV relativeFrom="paragraph">
              <wp:posOffset>1717675</wp:posOffset>
            </wp:positionV>
            <wp:extent cx="4684395" cy="38525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4395" cy="3852545"/>
                    </a:xfrm>
                    <a:prstGeom prst="rect">
                      <a:avLst/>
                    </a:prstGeom>
                  </pic:spPr>
                </pic:pic>
              </a:graphicData>
            </a:graphic>
            <wp14:sizeRelH relativeFrom="margin">
              <wp14:pctWidth>0</wp14:pctWidth>
            </wp14:sizeRelH>
            <wp14:sizeRelV relativeFrom="margin">
              <wp14:pctHeight>0</wp14:pctHeight>
            </wp14:sizeRelV>
          </wp:anchor>
        </w:drawing>
      </w:r>
      <w:r>
        <w:t xml:space="preserve">As measured by the Microsoft Partners in Learning School Research report, there was indeed a drop in innovative practices by teachers over the three years from 2011-2013 (see Figure 1, below), despite a clear continued use of ICT devices by both teachers and staff (see Appendix A).  Clear drops were also identified across each </w:t>
      </w:r>
      <w:r w:rsidR="00511740">
        <w:t>sub-</w:t>
      </w:r>
      <w:r>
        <w:t>domain of the report, such as Personalised Learning, Collaboration, Knowledge Construction and Global Awareness.</w:t>
      </w:r>
    </w:p>
    <w:p w14:paraId="58B9814C" w14:textId="57618659" w:rsidR="00E822B4" w:rsidRDefault="00230F2B" w:rsidP="00B65237">
      <w:pPr>
        <w:spacing w:before="120" w:after="120" w:line="360" w:lineRule="auto"/>
        <w:ind w:left="720"/>
      </w:pPr>
      <w:r>
        <w:t>Figure 1: Innovative Teaching Practices as measured by Microsoft Educator Network School Research report</w:t>
      </w:r>
    </w:p>
    <w:p w14:paraId="388B1FF9" w14:textId="4331EE5D" w:rsidR="004071CA" w:rsidRDefault="00230F2B" w:rsidP="00B65237">
      <w:pPr>
        <w:spacing w:before="120" w:after="120" w:line="360" w:lineRule="auto"/>
        <w:ind w:left="720"/>
      </w:pPr>
      <w:r>
        <w:t xml:space="preserve">What was less expected was </w:t>
      </w:r>
      <w:r w:rsidR="00943557">
        <w:t xml:space="preserve">that NAPLAN results also fell (Figure 2, </w:t>
      </w:r>
      <w:r w:rsidR="00B61DF9">
        <w:t>next page)</w:t>
      </w:r>
      <w:r w:rsidR="00943557">
        <w:t xml:space="preserve"> in line with drops in Innovative Practices, after rising during the </w:t>
      </w:r>
      <w:r w:rsidR="00511740">
        <w:t xml:space="preserve">previous </w:t>
      </w:r>
      <w:r w:rsidR="00943557">
        <w:t xml:space="preserve">period </w:t>
      </w:r>
      <w:r w:rsidR="00511740">
        <w:t>of time in</w:t>
      </w:r>
      <w:r w:rsidR="00943557">
        <w:t xml:space="preserve"> which eLearning and digital pedagogies </w:t>
      </w:r>
      <w:r w:rsidR="00B61DF9">
        <w:t>were</w:t>
      </w:r>
      <w:r w:rsidR="00943557">
        <w:t xml:space="preserve"> the key focus</w:t>
      </w:r>
      <w:r w:rsidR="00511740">
        <w:t xml:space="preserve"> (2008-2011)</w:t>
      </w:r>
      <w:r w:rsidR="00943557">
        <w:t>.</w:t>
      </w:r>
    </w:p>
    <w:p w14:paraId="6236B451" w14:textId="536BF792" w:rsidR="00943557" w:rsidRDefault="003D58DE" w:rsidP="00B65237">
      <w:pPr>
        <w:spacing w:before="120" w:after="120" w:line="360" w:lineRule="auto"/>
        <w:ind w:left="720"/>
      </w:pPr>
      <w:r w:rsidRPr="003D58DE">
        <w:rPr>
          <w:noProof/>
          <w:lang w:val="en-US"/>
        </w:rPr>
        <w:drawing>
          <wp:anchor distT="0" distB="0" distL="114300" distR="114300" simplePos="0" relativeHeight="251675648" behindDoc="0" locked="0" layoutInCell="1" allowOverlap="1" wp14:anchorId="3311DDEB" wp14:editId="3CD648FE">
            <wp:simplePos x="0" y="0"/>
            <wp:positionH relativeFrom="column">
              <wp:posOffset>162137</wp:posOffset>
            </wp:positionH>
            <wp:positionV relativeFrom="paragraph">
              <wp:posOffset>0</wp:posOffset>
            </wp:positionV>
            <wp:extent cx="5727700" cy="3112135"/>
            <wp:effectExtent l="0" t="0" r="12700" b="12065"/>
            <wp:wrapTight wrapText="bothSides">
              <wp:wrapPolygon edited="0">
                <wp:start x="0" y="0"/>
                <wp:lineTo x="0" y="21507"/>
                <wp:lineTo x="21552" y="21507"/>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3112135"/>
                    </a:xfrm>
                    <a:prstGeom prst="rect">
                      <a:avLst/>
                    </a:prstGeom>
                  </pic:spPr>
                </pic:pic>
              </a:graphicData>
            </a:graphic>
          </wp:anchor>
        </w:drawing>
      </w:r>
    </w:p>
    <w:p w14:paraId="2F01A603" w14:textId="3673B3B0" w:rsidR="004071CA" w:rsidRDefault="00943557" w:rsidP="004071CA">
      <w:pPr>
        <w:spacing w:before="120" w:after="120" w:line="360" w:lineRule="auto"/>
        <w:ind w:left="1440"/>
      </w:pPr>
      <w:r>
        <w:t>Figure 2: Year 9 NAPLAN results from 2008-2014</w:t>
      </w:r>
    </w:p>
    <w:p w14:paraId="65547E24" w14:textId="22DE57B7" w:rsidR="00943557" w:rsidRDefault="00943557" w:rsidP="004071CA">
      <w:pPr>
        <w:spacing w:before="120" w:after="120" w:line="360" w:lineRule="auto"/>
        <w:ind w:left="1440"/>
      </w:pPr>
    </w:p>
    <w:p w14:paraId="75781254" w14:textId="6D9237D4" w:rsidR="00943557" w:rsidRDefault="00D51963" w:rsidP="00B65237">
      <w:pPr>
        <w:spacing w:before="120" w:after="120" w:line="360" w:lineRule="auto"/>
        <w:ind w:left="720"/>
      </w:pPr>
      <w:r>
        <w:t xml:space="preserve">None of this is to suggest that the processes implemented by the new Principal were </w:t>
      </w:r>
      <w:r w:rsidR="00511740">
        <w:t xml:space="preserve">fundamentally </w:t>
      </w:r>
      <w:r>
        <w:t xml:space="preserve">ineffective.  From my experience, High Classroom Expectations was very effective in assisting students in moving from Retreatism to a point where they were coming to class prepared to follow directions and complete work (Ritual Compliance), and the other processes ensured students cared about success, and were aware of how to achieve it.  It was the focus on these processes </w:t>
      </w:r>
      <w:r w:rsidR="00C928BD">
        <w:t>to the detriment of the e</w:t>
      </w:r>
      <w:r w:rsidR="006064BC">
        <w:t>arlier work in developing authentically engaging work</w:t>
      </w:r>
      <w:r w:rsidR="005B480F">
        <w:t xml:space="preserve"> (using eLearning and digital pedagogies)</w:t>
      </w:r>
      <w:r w:rsidR="006064BC">
        <w:t xml:space="preserve"> that has resulted not just in moving students up from Retreatism to Ritual and Strategic Compliance, but also in dis</w:t>
      </w:r>
      <w:r w:rsidR="005B480F">
        <w:t>-</w:t>
      </w:r>
      <w:r w:rsidR="006064BC">
        <w:t>engaging students who were previously operating at the level of Authentic Engagement, and moving them down towards Ritual and Strategic Compliance.</w:t>
      </w:r>
    </w:p>
    <w:p w14:paraId="433E9508" w14:textId="77777777" w:rsidR="004046EA" w:rsidRDefault="004046EA" w:rsidP="004046EA">
      <w:pPr>
        <w:pStyle w:val="ListParagraph"/>
        <w:spacing w:before="120" w:after="120" w:line="360" w:lineRule="auto"/>
        <w:ind w:left="1440"/>
      </w:pPr>
    </w:p>
    <w:p w14:paraId="53C22687" w14:textId="77777777" w:rsidR="00B65237" w:rsidRDefault="00B65237">
      <w:pPr>
        <w:rPr>
          <w:rFonts w:asciiTheme="majorHAnsi" w:eastAsiaTheme="majorEastAsia" w:hAnsiTheme="majorHAnsi" w:cstheme="majorBidi"/>
          <w:b/>
          <w:bCs/>
          <w:color w:val="2E74B5" w:themeColor="accent1" w:themeShade="BF"/>
          <w:sz w:val="28"/>
          <w:szCs w:val="28"/>
          <w:lang w:val="en-US" w:bidi="en-US"/>
        </w:rPr>
      </w:pPr>
      <w:r>
        <w:br w:type="page"/>
      </w:r>
    </w:p>
    <w:p w14:paraId="6E22B6E1" w14:textId="2FD9DB63" w:rsidR="00114276" w:rsidRDefault="00114276" w:rsidP="00B65237">
      <w:pPr>
        <w:pStyle w:val="Heading1"/>
        <w:numPr>
          <w:ilvl w:val="0"/>
          <w:numId w:val="11"/>
        </w:numPr>
      </w:pPr>
      <w:bookmarkStart w:id="12" w:name="_Toc430900492"/>
      <w:r>
        <w:t>Conclusion</w:t>
      </w:r>
      <w:bookmarkEnd w:id="12"/>
    </w:p>
    <w:p w14:paraId="0963CFAF" w14:textId="0AAD79C9" w:rsidR="005B480F" w:rsidRDefault="005B480F" w:rsidP="005B480F">
      <w:pPr>
        <w:pStyle w:val="ListParagraph"/>
        <w:spacing w:before="120" w:after="120" w:line="360" w:lineRule="auto"/>
      </w:pPr>
      <w:r>
        <w:t xml:space="preserve">Students come to our classes at different levels of engagement.  As teachers, we aim to engage them all authentically so that not only can they find success in our classes, but that they are able to retain and apply the knowledge they have learnt in </w:t>
      </w:r>
      <w:r w:rsidR="00B61DF9">
        <w:t xml:space="preserve">other </w:t>
      </w:r>
      <w:r>
        <w:t>contexts</w:t>
      </w:r>
      <w:r w:rsidR="00B61DF9">
        <w:t>, and</w:t>
      </w:r>
      <w:r>
        <w:t xml:space="preserve"> beyond the classroom.  In order to achieve this, </w:t>
      </w:r>
      <w:r w:rsidR="00637163">
        <w:t>schools need to have access to</w:t>
      </w:r>
      <w:r>
        <w:t xml:space="preserve"> a range of </w:t>
      </w:r>
      <w:r w:rsidR="00637163">
        <w:t xml:space="preserve">school-wide processes and </w:t>
      </w:r>
      <w:r>
        <w:t xml:space="preserve">Instructional Techniques, based on different Learning Theories, in order to meet the needs of </w:t>
      </w:r>
      <w:r w:rsidR="00511740">
        <w:t xml:space="preserve">all of </w:t>
      </w:r>
      <w:r>
        <w:t>the students in front of us</w:t>
      </w:r>
      <w:r w:rsidR="00B61DF9">
        <w:t>.  By improving student engagement through the use of appropriate processes, we are able to optimise authentic learning in our classrooms</w:t>
      </w:r>
      <w:r w:rsidR="00637163">
        <w:t>.</w:t>
      </w:r>
      <w:r>
        <w:t xml:space="preserve"> </w:t>
      </w:r>
    </w:p>
    <w:p w14:paraId="01C6C0DA" w14:textId="77777777" w:rsidR="00C0424C" w:rsidRDefault="00C0424C" w:rsidP="006841C6"/>
    <w:bookmarkStart w:id="13" w:name="_Toc430899627" w:displacedByCustomXml="next"/>
    <w:sdt>
      <w:sdtPr>
        <w:rPr>
          <w:rFonts w:asciiTheme="minorHAnsi" w:eastAsiaTheme="minorHAnsi" w:hAnsiTheme="minorHAnsi" w:cstheme="minorBidi"/>
          <w:b w:val="0"/>
          <w:bCs w:val="0"/>
          <w:color w:val="auto"/>
          <w:sz w:val="24"/>
          <w:szCs w:val="24"/>
          <w:lang w:val="en-AU" w:bidi="ar-SA"/>
        </w:rPr>
        <w:id w:val="-1236938739"/>
        <w:docPartObj>
          <w:docPartGallery w:val="Bibliographies"/>
          <w:docPartUnique/>
        </w:docPartObj>
      </w:sdtPr>
      <w:sdtEndPr/>
      <w:sdtContent>
        <w:p w14:paraId="2F983831" w14:textId="77777777" w:rsidR="00B65237" w:rsidRDefault="00B65237">
          <w:pPr>
            <w:pStyle w:val="Heading1"/>
          </w:pPr>
        </w:p>
        <w:p w14:paraId="758F4D6C" w14:textId="77777777" w:rsidR="00B65237" w:rsidRDefault="00B65237">
          <w:pPr>
            <w:rPr>
              <w:rFonts w:asciiTheme="majorHAnsi" w:eastAsiaTheme="majorEastAsia" w:hAnsiTheme="majorHAnsi" w:cstheme="majorBidi"/>
              <w:b/>
              <w:bCs/>
              <w:color w:val="2E74B5" w:themeColor="accent1" w:themeShade="BF"/>
              <w:sz w:val="28"/>
              <w:szCs w:val="28"/>
              <w:lang w:val="en-US" w:bidi="en-US"/>
            </w:rPr>
          </w:pPr>
          <w:r>
            <w:br w:type="page"/>
          </w:r>
        </w:p>
        <w:p w14:paraId="1AE62348" w14:textId="7DB07542" w:rsidR="005B480F" w:rsidRDefault="005B480F">
          <w:pPr>
            <w:pStyle w:val="Heading1"/>
          </w:pPr>
          <w:bookmarkStart w:id="14" w:name="_Toc430900493"/>
          <w:r>
            <w:t>Bibliography</w:t>
          </w:r>
          <w:bookmarkEnd w:id="13"/>
          <w:bookmarkEnd w:id="14"/>
        </w:p>
        <w:sdt>
          <w:sdtPr>
            <w:id w:val="111145805"/>
            <w:bibliography/>
          </w:sdtPr>
          <w:sdtEndPr/>
          <w:sdtContent>
            <w:p w14:paraId="7CD4BCF4" w14:textId="77777777" w:rsidR="005B480F" w:rsidRDefault="005B480F" w:rsidP="005B480F">
              <w:pPr>
                <w:pStyle w:val="Bibliography"/>
                <w:rPr>
                  <w:noProof/>
                </w:rPr>
              </w:pPr>
              <w:r>
                <w:fldChar w:fldCharType="begin"/>
              </w:r>
              <w:r>
                <w:instrText xml:space="preserve"> BIBLIOGRAPHY </w:instrText>
              </w:r>
              <w:r>
                <w:fldChar w:fldCharType="separate"/>
              </w:r>
              <w:r>
                <w:rPr>
                  <w:noProof/>
                </w:rPr>
                <w:t xml:space="preserve">Andrews, J. (2014, January 15). </w:t>
              </w:r>
              <w:r>
                <w:rPr>
                  <w:i/>
                  <w:iCs/>
                  <w:noProof/>
                </w:rPr>
                <w:t>Engagement: not motivation, nor conformity</w:t>
              </w:r>
              <w:r>
                <w:rPr>
                  <w:noProof/>
                </w:rPr>
                <w:t>. Retrieved September 10, 2015, from Centre for Research Innovation and Future Development: http://thecentreonline.com.au/2014/01/15/engagement-motivation-conformity/</w:t>
              </w:r>
            </w:p>
            <w:p w14:paraId="16B8C98D" w14:textId="77777777" w:rsidR="005B480F" w:rsidRPr="005B480F" w:rsidRDefault="005B480F" w:rsidP="005B480F"/>
            <w:p w14:paraId="0861E7DC" w14:textId="77777777" w:rsidR="005B480F" w:rsidRDefault="005B480F" w:rsidP="005B480F">
              <w:pPr>
                <w:pStyle w:val="Bibliography"/>
                <w:rPr>
                  <w:noProof/>
                </w:rPr>
              </w:pPr>
              <w:r>
                <w:rPr>
                  <w:noProof/>
                </w:rPr>
                <w:t xml:space="preserve">Ausubel, D. P. (1961). In defense of verbal learning. </w:t>
              </w:r>
              <w:r>
                <w:rPr>
                  <w:i/>
                  <w:iCs/>
                  <w:noProof/>
                </w:rPr>
                <w:t>Educational Theory</w:t>
              </w:r>
              <w:r>
                <w:rPr>
                  <w:noProof/>
                </w:rPr>
                <w:t xml:space="preserve"> </w:t>
              </w:r>
              <w:r>
                <w:rPr>
                  <w:i/>
                  <w:iCs/>
                  <w:noProof/>
                </w:rPr>
                <w:t>, 11</w:t>
              </w:r>
              <w:r>
                <w:rPr>
                  <w:noProof/>
                </w:rPr>
                <w:t xml:space="preserve"> (1), 15-25.</w:t>
              </w:r>
            </w:p>
            <w:p w14:paraId="6E9A7D47" w14:textId="77777777" w:rsidR="005B480F" w:rsidRPr="005B480F" w:rsidRDefault="005B480F" w:rsidP="005B480F"/>
            <w:p w14:paraId="2F08A948" w14:textId="77777777" w:rsidR="005B480F" w:rsidRDefault="005B480F" w:rsidP="005B480F">
              <w:pPr>
                <w:pStyle w:val="Bibliography"/>
                <w:rPr>
                  <w:noProof/>
                </w:rPr>
              </w:pPr>
              <w:r>
                <w:rPr>
                  <w:noProof/>
                </w:rPr>
                <w:t xml:space="preserve">Engineers Without Borders. (2014). </w:t>
              </w:r>
              <w:r>
                <w:rPr>
                  <w:i/>
                  <w:iCs/>
                  <w:noProof/>
                </w:rPr>
                <w:t>EWB Challenge</w:t>
              </w:r>
              <w:r>
                <w:rPr>
                  <w:noProof/>
                </w:rPr>
                <w:t>. Retrieved September 20, 2015, from EWB Challenge: http://ewbchallenge.org</w:t>
              </w:r>
            </w:p>
            <w:p w14:paraId="3072FA01" w14:textId="77777777" w:rsidR="005B480F" w:rsidRPr="005B480F" w:rsidRDefault="005B480F" w:rsidP="005B480F"/>
            <w:p w14:paraId="7A52F822" w14:textId="77777777" w:rsidR="005B480F" w:rsidRDefault="005B480F" w:rsidP="005B480F">
              <w:pPr>
                <w:pStyle w:val="Bibliography"/>
                <w:rPr>
                  <w:noProof/>
                </w:rPr>
              </w:pPr>
              <w:r>
                <w:rPr>
                  <w:noProof/>
                </w:rPr>
                <w:t xml:space="preserve">Fullan, M. (2014). </w:t>
              </w:r>
              <w:r>
                <w:rPr>
                  <w:i/>
                  <w:iCs/>
                  <w:noProof/>
                </w:rPr>
                <w:t>The Principal.</w:t>
              </w:r>
              <w:r>
                <w:rPr>
                  <w:noProof/>
                </w:rPr>
                <w:t xml:space="preserve"> San Francisco: Jossey-Bass.</w:t>
              </w:r>
            </w:p>
            <w:p w14:paraId="1490D96C" w14:textId="77777777" w:rsidR="005B480F" w:rsidRPr="005B480F" w:rsidRDefault="005B480F" w:rsidP="005B480F"/>
            <w:p w14:paraId="5C062D68" w14:textId="77777777" w:rsidR="005B480F" w:rsidRDefault="005B480F" w:rsidP="005B480F">
              <w:pPr>
                <w:pStyle w:val="Bibliography"/>
                <w:rPr>
                  <w:noProof/>
                </w:rPr>
              </w:pPr>
              <w:r>
                <w:rPr>
                  <w:noProof/>
                </w:rPr>
                <w:t xml:space="preserve">Kreber, C. (2013). Empowering the scholarship of teaching: an Arendtian and critical perspective. </w:t>
              </w:r>
              <w:r>
                <w:rPr>
                  <w:i/>
                  <w:iCs/>
                  <w:noProof/>
                </w:rPr>
                <w:t>Studies in Higher Education</w:t>
              </w:r>
              <w:r>
                <w:rPr>
                  <w:noProof/>
                </w:rPr>
                <w:t xml:space="preserve"> </w:t>
              </w:r>
              <w:r>
                <w:rPr>
                  <w:i/>
                  <w:iCs/>
                  <w:noProof/>
                </w:rPr>
                <w:t>, 38</w:t>
              </w:r>
              <w:r>
                <w:rPr>
                  <w:noProof/>
                </w:rPr>
                <w:t xml:space="preserve"> (6), 857-869.</w:t>
              </w:r>
            </w:p>
            <w:p w14:paraId="0731DCBB" w14:textId="77777777" w:rsidR="005B480F" w:rsidRPr="005B480F" w:rsidRDefault="005B480F" w:rsidP="005B480F"/>
            <w:p w14:paraId="7408CEC3" w14:textId="77777777" w:rsidR="005B480F" w:rsidRDefault="005B480F" w:rsidP="005B480F">
              <w:pPr>
                <w:pStyle w:val="Bibliography"/>
                <w:rPr>
                  <w:noProof/>
                </w:rPr>
              </w:pPr>
              <w:r>
                <w:rPr>
                  <w:noProof/>
                </w:rPr>
                <w:t xml:space="preserve">Lombardi, M. M. (2007). Authenit Learning for the 21st Century: An Overview. In D. G. Oblinger (Ed.), </w:t>
              </w:r>
              <w:r>
                <w:rPr>
                  <w:i/>
                  <w:iCs/>
                  <w:noProof/>
                </w:rPr>
                <w:t>EDUCASE Learning Initiative.</w:t>
              </w:r>
              <w:r>
                <w:rPr>
                  <w:noProof/>
                </w:rPr>
                <w:t xml:space="preserve"> </w:t>
              </w:r>
            </w:p>
            <w:p w14:paraId="69BB1A77" w14:textId="77777777" w:rsidR="005B480F" w:rsidRPr="005B480F" w:rsidRDefault="005B480F" w:rsidP="005B480F"/>
            <w:p w14:paraId="10F102D5" w14:textId="38122BBD" w:rsidR="005B480F" w:rsidRDefault="005B480F" w:rsidP="005B480F">
              <w:pPr>
                <w:pStyle w:val="Bibliography"/>
                <w:rPr>
                  <w:noProof/>
                </w:rPr>
              </w:pPr>
              <w:r>
                <w:rPr>
                  <w:noProof/>
                </w:rPr>
                <w:t xml:space="preserve">Machiavelli, N. (1513). </w:t>
              </w:r>
              <w:r>
                <w:rPr>
                  <w:i/>
                  <w:iCs/>
                  <w:noProof/>
                </w:rPr>
                <w:t>The Prince</w:t>
              </w:r>
              <w:r>
                <w:rPr>
                  <w:noProof/>
                </w:rPr>
                <w:t xml:space="preserve"> [Kobo ed.]. Florence.</w:t>
              </w:r>
            </w:p>
            <w:p w14:paraId="14608A3D" w14:textId="77777777" w:rsidR="005B480F" w:rsidRPr="005B480F" w:rsidRDefault="005B480F" w:rsidP="005B480F"/>
            <w:p w14:paraId="09065FC0" w14:textId="77777777" w:rsidR="005B480F" w:rsidRDefault="005B480F" w:rsidP="005B480F">
              <w:pPr>
                <w:pStyle w:val="Bibliography"/>
                <w:rPr>
                  <w:noProof/>
                </w:rPr>
              </w:pPr>
              <w:r>
                <w:rPr>
                  <w:noProof/>
                </w:rPr>
                <w:t xml:space="preserve">Microsoft Educator Network. (2015). </w:t>
              </w:r>
              <w:r>
                <w:rPr>
                  <w:i/>
                  <w:iCs/>
                  <w:noProof/>
                </w:rPr>
                <w:t>21st Century Learning Design</w:t>
              </w:r>
              <w:r>
                <w:rPr>
                  <w:noProof/>
                </w:rPr>
                <w:t>. Retrieved September 20, 2015, from Microsfot Educator Network: https://www.educatornetwork.com/pd/21CLD/Overview</w:t>
              </w:r>
            </w:p>
            <w:p w14:paraId="21379925" w14:textId="77777777" w:rsidR="005B480F" w:rsidRPr="005B480F" w:rsidRDefault="005B480F" w:rsidP="005B480F"/>
            <w:p w14:paraId="54940F55" w14:textId="77777777" w:rsidR="005B480F" w:rsidRDefault="005B480F" w:rsidP="005B480F">
              <w:pPr>
                <w:pStyle w:val="Bibliography"/>
                <w:rPr>
                  <w:noProof/>
                </w:rPr>
              </w:pPr>
              <w:r>
                <w:rPr>
                  <w:noProof/>
                </w:rPr>
                <w:t xml:space="preserve">Microsoft Educator Network. (2015). </w:t>
              </w:r>
              <w:r>
                <w:rPr>
                  <w:i/>
                  <w:iCs/>
                  <w:noProof/>
                </w:rPr>
                <w:t>Partners in Learning School Research Overview</w:t>
              </w:r>
              <w:r>
                <w:rPr>
                  <w:noProof/>
                </w:rPr>
                <w:t>. Retrieved September 21, 2015, from Microsoft Educator Network: https://www.educatornetwork.com/Sites/SchoolResearch/ForSchools/Index</w:t>
              </w:r>
            </w:p>
            <w:p w14:paraId="24C78D3E" w14:textId="77777777" w:rsidR="005B480F" w:rsidRPr="005B480F" w:rsidRDefault="005B480F" w:rsidP="005B480F"/>
            <w:p w14:paraId="4F1D0DC3" w14:textId="77777777" w:rsidR="005B480F" w:rsidRDefault="005B480F" w:rsidP="005B480F">
              <w:pPr>
                <w:pStyle w:val="Bibliography"/>
                <w:rPr>
                  <w:noProof/>
                </w:rPr>
              </w:pPr>
              <w:r>
                <w:rPr>
                  <w:noProof/>
                </w:rPr>
                <w:t xml:space="preserve">Peters, M. A. (2014). The Shapes of Theory in Education. </w:t>
              </w:r>
              <w:r>
                <w:rPr>
                  <w:i/>
                  <w:iCs/>
                  <w:noProof/>
                </w:rPr>
                <w:t>Educational Philosophy and Theory</w:t>
              </w:r>
              <w:r>
                <w:rPr>
                  <w:noProof/>
                </w:rPr>
                <w:t xml:space="preserve"> </w:t>
              </w:r>
              <w:r>
                <w:rPr>
                  <w:i/>
                  <w:iCs/>
                  <w:noProof/>
                </w:rPr>
                <w:t>, 46</w:t>
              </w:r>
              <w:r>
                <w:rPr>
                  <w:noProof/>
                </w:rPr>
                <w:t xml:space="preserve"> (12), 1315-1319.</w:t>
              </w:r>
            </w:p>
            <w:p w14:paraId="22568449" w14:textId="77777777" w:rsidR="005B480F" w:rsidRPr="005B480F" w:rsidRDefault="005B480F" w:rsidP="005B480F"/>
            <w:p w14:paraId="28A5E289" w14:textId="77777777" w:rsidR="005B480F" w:rsidRDefault="005B480F" w:rsidP="005B480F">
              <w:pPr>
                <w:pStyle w:val="Bibliography"/>
                <w:rPr>
                  <w:noProof/>
                </w:rPr>
              </w:pPr>
              <w:r>
                <w:rPr>
                  <w:noProof/>
                </w:rPr>
                <w:t xml:space="preserve">Peterson, R. A. (2005). In Search of Authenticity. </w:t>
              </w:r>
              <w:r>
                <w:rPr>
                  <w:i/>
                  <w:iCs/>
                  <w:noProof/>
                </w:rPr>
                <w:t>Journal of Management Studies</w:t>
              </w:r>
              <w:r>
                <w:rPr>
                  <w:noProof/>
                </w:rPr>
                <w:t xml:space="preserve"> </w:t>
              </w:r>
              <w:r>
                <w:rPr>
                  <w:i/>
                  <w:iCs/>
                  <w:noProof/>
                </w:rPr>
                <w:t>, 42</w:t>
              </w:r>
              <w:r>
                <w:rPr>
                  <w:noProof/>
                </w:rPr>
                <w:t xml:space="preserve"> (5), 1083-1098.</w:t>
              </w:r>
            </w:p>
            <w:p w14:paraId="7B878FD6" w14:textId="77777777" w:rsidR="005B480F" w:rsidRPr="005B480F" w:rsidRDefault="005B480F" w:rsidP="005B480F"/>
            <w:p w14:paraId="7EF05C6F" w14:textId="77777777" w:rsidR="005B480F" w:rsidRDefault="005B480F" w:rsidP="005B480F">
              <w:pPr>
                <w:pStyle w:val="Bibliography"/>
                <w:rPr>
                  <w:noProof/>
                </w:rPr>
              </w:pPr>
              <w:r>
                <w:rPr>
                  <w:noProof/>
                </w:rPr>
                <w:t xml:space="preserve">Rule, A. C. (2006). Editorial: The Componenets of Authentic Learning. </w:t>
              </w:r>
              <w:r>
                <w:rPr>
                  <w:i/>
                  <w:iCs/>
                  <w:noProof/>
                </w:rPr>
                <w:t>Journal of Authentic Learning</w:t>
              </w:r>
              <w:r>
                <w:rPr>
                  <w:noProof/>
                </w:rPr>
                <w:t xml:space="preserve"> </w:t>
              </w:r>
              <w:r>
                <w:rPr>
                  <w:i/>
                  <w:iCs/>
                  <w:noProof/>
                </w:rPr>
                <w:t>, 3</w:t>
              </w:r>
              <w:r>
                <w:rPr>
                  <w:noProof/>
                </w:rPr>
                <w:t xml:space="preserve"> (1), 1-10.</w:t>
              </w:r>
            </w:p>
            <w:p w14:paraId="570478A4" w14:textId="77777777" w:rsidR="005B480F" w:rsidRPr="005B480F" w:rsidRDefault="005B480F" w:rsidP="005B480F"/>
            <w:p w14:paraId="66171724" w14:textId="77777777" w:rsidR="005B480F" w:rsidRDefault="005B480F" w:rsidP="005B480F">
              <w:pPr>
                <w:pStyle w:val="Bibliography"/>
                <w:rPr>
                  <w:noProof/>
                </w:rPr>
              </w:pPr>
              <w:r>
                <w:rPr>
                  <w:noProof/>
                </w:rPr>
                <w:t xml:space="preserve">Saito, H. (2010). Actor-network theory of cosmopolitan education. </w:t>
              </w:r>
              <w:r>
                <w:rPr>
                  <w:i/>
                  <w:iCs/>
                  <w:noProof/>
                </w:rPr>
                <w:t>Curriculum Studies</w:t>
              </w:r>
              <w:r>
                <w:rPr>
                  <w:noProof/>
                </w:rPr>
                <w:t xml:space="preserve"> </w:t>
              </w:r>
              <w:r>
                <w:rPr>
                  <w:i/>
                  <w:iCs/>
                  <w:noProof/>
                </w:rPr>
                <w:t>, 42</w:t>
              </w:r>
              <w:r>
                <w:rPr>
                  <w:noProof/>
                </w:rPr>
                <w:t xml:space="preserve"> (3), 333-351.</w:t>
              </w:r>
            </w:p>
            <w:p w14:paraId="0EF4B25C" w14:textId="77777777" w:rsidR="005B480F" w:rsidRPr="005B480F" w:rsidRDefault="005B480F" w:rsidP="005B480F"/>
            <w:p w14:paraId="1EDFB3FF" w14:textId="77777777" w:rsidR="005B480F" w:rsidRDefault="005B480F" w:rsidP="005B480F">
              <w:pPr>
                <w:pStyle w:val="Bibliography"/>
                <w:rPr>
                  <w:noProof/>
                </w:rPr>
              </w:pPr>
              <w:r>
                <w:rPr>
                  <w:noProof/>
                </w:rPr>
                <w:t xml:space="preserve">Schlechty, P. (2011). </w:t>
              </w:r>
              <w:r>
                <w:rPr>
                  <w:i/>
                  <w:iCs/>
                  <w:noProof/>
                </w:rPr>
                <w:t>Schlechty Centre on Engagement.</w:t>
              </w:r>
              <w:r>
                <w:rPr>
                  <w:noProof/>
                </w:rPr>
                <w:t xml:space="preserve"> Retrieved September 20, 2015, from Schlechty Centre: http://www.schlechtycenter.org/system/tool_attachment/4046/original/sc_pdf_engagement.pdf?1272415798</w:t>
              </w:r>
            </w:p>
            <w:p w14:paraId="276F8D93" w14:textId="77777777" w:rsidR="005B480F" w:rsidRPr="005B480F" w:rsidRDefault="005B480F" w:rsidP="005B480F"/>
            <w:p w14:paraId="0708F10B" w14:textId="77777777" w:rsidR="005B480F" w:rsidRDefault="005B480F" w:rsidP="005B480F">
              <w:pPr>
                <w:pStyle w:val="Bibliography"/>
                <w:rPr>
                  <w:noProof/>
                </w:rPr>
              </w:pPr>
              <w:r>
                <w:rPr>
                  <w:noProof/>
                </w:rPr>
                <w:t xml:space="preserve">Schuh, K. L., &amp; Barab, S. A. (2008). Philosophical Perspectives. In J. M. Spector, M. D. Merrill, J. v. Merrienboer, &amp; M. P. Driscoll (Eds.), </w:t>
              </w:r>
              <w:r>
                <w:rPr>
                  <w:i/>
                  <w:iCs/>
                  <w:noProof/>
                </w:rPr>
                <w:t>Handbook of Research on Educational Communications and Technology 3rd Edition</w:t>
              </w:r>
              <w:r>
                <w:rPr>
                  <w:noProof/>
                </w:rPr>
                <w:t xml:space="preserve"> (pp. 67-82). New York, NY: Lawrence Erlbaum Associates.</w:t>
              </w:r>
            </w:p>
            <w:p w14:paraId="1B12A492" w14:textId="77777777" w:rsidR="005B480F" w:rsidRPr="005B480F" w:rsidRDefault="005B480F" w:rsidP="005B480F"/>
            <w:p w14:paraId="7D13D755" w14:textId="77777777" w:rsidR="005B480F" w:rsidRDefault="005B480F" w:rsidP="005B480F">
              <w:pPr>
                <w:pStyle w:val="Bibliography"/>
                <w:rPr>
                  <w:noProof/>
                </w:rPr>
              </w:pPr>
              <w:r>
                <w:rPr>
                  <w:noProof/>
                </w:rPr>
                <w:t xml:space="preserve">Sumara, D. J., &amp; Davis, B. (1997). Enactivist Theory and Community Learning: toward a complexified understanding of actino research. </w:t>
              </w:r>
              <w:r>
                <w:rPr>
                  <w:i/>
                  <w:iCs/>
                  <w:noProof/>
                </w:rPr>
                <w:t>Education Actino Research</w:t>
              </w:r>
              <w:r>
                <w:rPr>
                  <w:noProof/>
                </w:rPr>
                <w:t xml:space="preserve"> </w:t>
              </w:r>
              <w:r>
                <w:rPr>
                  <w:i/>
                  <w:iCs/>
                  <w:noProof/>
                </w:rPr>
                <w:t>, 5</w:t>
              </w:r>
              <w:r>
                <w:rPr>
                  <w:noProof/>
                </w:rPr>
                <w:t xml:space="preserve"> (3), 403-422.</w:t>
              </w:r>
            </w:p>
            <w:p w14:paraId="09E44A24" w14:textId="7D38DBC0" w:rsidR="005B480F" w:rsidRDefault="005B480F" w:rsidP="005B480F">
              <w:r>
                <w:rPr>
                  <w:b/>
                  <w:bCs/>
                  <w:noProof/>
                </w:rPr>
                <w:fldChar w:fldCharType="end"/>
              </w:r>
            </w:p>
          </w:sdtContent>
        </w:sdt>
      </w:sdtContent>
    </w:sdt>
    <w:p w14:paraId="660F1B0C" w14:textId="77777777" w:rsidR="00C0424C" w:rsidRDefault="00C0424C" w:rsidP="006841C6"/>
    <w:p w14:paraId="08904B6A" w14:textId="77777777" w:rsidR="006064BC" w:rsidRDefault="006064BC" w:rsidP="006841C6"/>
    <w:p w14:paraId="66A06BE4" w14:textId="77777777" w:rsidR="005B480F" w:rsidRDefault="005B480F" w:rsidP="006841C6">
      <w:pPr>
        <w:sectPr w:rsidR="005B480F" w:rsidSect="002F2C7C">
          <w:pgSz w:w="11900" w:h="16840"/>
          <w:pgMar w:top="1440" w:right="1440" w:bottom="1440" w:left="1440" w:header="708" w:footer="708" w:gutter="0"/>
          <w:cols w:space="708"/>
          <w:docGrid w:linePitch="360"/>
        </w:sectPr>
      </w:pPr>
    </w:p>
    <w:p w14:paraId="0DDA61B4" w14:textId="5C5120C1" w:rsidR="00C0424C" w:rsidRPr="00B65237" w:rsidRDefault="006064BC" w:rsidP="00B65237">
      <w:pPr>
        <w:pStyle w:val="Heading1"/>
        <w:jc w:val="center"/>
        <w:rPr>
          <w:color w:val="000000" w:themeColor="text1"/>
        </w:rPr>
      </w:pPr>
      <w:bookmarkStart w:id="15" w:name="_Toc430900494"/>
      <w:r w:rsidRPr="00B65237">
        <w:rPr>
          <w:color w:val="000000" w:themeColor="text1"/>
        </w:rPr>
        <w:t>Appendix A</w:t>
      </w:r>
      <w:bookmarkEnd w:id="15"/>
    </w:p>
    <w:p w14:paraId="4FE01E2E" w14:textId="4C13414C" w:rsidR="006064BC" w:rsidRPr="000864DB" w:rsidRDefault="000864DB" w:rsidP="000864DB">
      <w:pPr>
        <w:jc w:val="center"/>
        <w:rPr>
          <w:sz w:val="32"/>
          <w:szCs w:val="32"/>
        </w:rPr>
      </w:pPr>
      <w:r w:rsidRPr="006064BC">
        <w:rPr>
          <w:noProof/>
          <w:lang w:val="en-US"/>
        </w:rPr>
        <w:drawing>
          <wp:anchor distT="0" distB="0" distL="114300" distR="114300" simplePos="0" relativeHeight="251671552" behindDoc="0" locked="0" layoutInCell="1" allowOverlap="1" wp14:anchorId="0F3D764B" wp14:editId="29744738">
            <wp:simplePos x="0" y="0"/>
            <wp:positionH relativeFrom="column">
              <wp:posOffset>0</wp:posOffset>
            </wp:positionH>
            <wp:positionV relativeFrom="paragraph">
              <wp:posOffset>432435</wp:posOffset>
            </wp:positionV>
            <wp:extent cx="5423535" cy="3473450"/>
            <wp:effectExtent l="0" t="0" r="12065" b="6350"/>
            <wp:wrapTight wrapText="bothSides">
              <wp:wrapPolygon edited="0">
                <wp:start x="0" y="0"/>
                <wp:lineTo x="0" y="21482"/>
                <wp:lineTo x="21547" y="21482"/>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23535" cy="3473450"/>
                    </a:xfrm>
                    <a:prstGeom prst="rect">
                      <a:avLst/>
                    </a:prstGeom>
                  </pic:spPr>
                </pic:pic>
              </a:graphicData>
            </a:graphic>
            <wp14:sizeRelH relativeFrom="margin">
              <wp14:pctWidth>0</wp14:pctWidth>
            </wp14:sizeRelH>
            <wp14:sizeRelV relativeFrom="margin">
              <wp14:pctHeight>0</wp14:pctHeight>
            </wp14:sizeRelV>
          </wp:anchor>
        </w:drawing>
      </w:r>
      <w:r w:rsidR="006064BC">
        <w:rPr>
          <w:sz w:val="32"/>
          <w:szCs w:val="32"/>
        </w:rPr>
        <w:t>Results of Partners in Learning School Research Report 2011-2013</w:t>
      </w:r>
    </w:p>
    <w:p w14:paraId="0B5CA927" w14:textId="2D8284DE" w:rsidR="006064BC" w:rsidRDefault="000864DB" w:rsidP="006064BC">
      <w:r w:rsidRPr="000864DB">
        <w:rPr>
          <w:noProof/>
          <w:lang w:val="en-US"/>
        </w:rPr>
        <w:drawing>
          <wp:anchor distT="0" distB="0" distL="114300" distR="114300" simplePos="0" relativeHeight="251673600" behindDoc="0" locked="0" layoutInCell="1" allowOverlap="1" wp14:anchorId="50CF637D" wp14:editId="78035C7B">
            <wp:simplePos x="0" y="0"/>
            <wp:positionH relativeFrom="column">
              <wp:posOffset>0</wp:posOffset>
            </wp:positionH>
            <wp:positionV relativeFrom="paragraph">
              <wp:posOffset>4086225</wp:posOffset>
            </wp:positionV>
            <wp:extent cx="5309235" cy="3611245"/>
            <wp:effectExtent l="0" t="0" r="0" b="0"/>
            <wp:wrapTight wrapText="bothSides">
              <wp:wrapPolygon edited="0">
                <wp:start x="0" y="0"/>
                <wp:lineTo x="0" y="21421"/>
                <wp:lineTo x="21494" y="21421"/>
                <wp:lineTo x="214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9235" cy="3611245"/>
                    </a:xfrm>
                    <a:prstGeom prst="rect">
                      <a:avLst/>
                    </a:prstGeom>
                  </pic:spPr>
                </pic:pic>
              </a:graphicData>
            </a:graphic>
            <wp14:sizeRelH relativeFrom="margin">
              <wp14:pctWidth>0</wp14:pctWidth>
            </wp14:sizeRelH>
            <wp14:sizeRelV relativeFrom="margin">
              <wp14:pctHeight>0</wp14:pctHeight>
            </wp14:sizeRelV>
          </wp:anchor>
        </w:drawing>
      </w:r>
      <w:r>
        <w:t xml:space="preserve">Figure </w:t>
      </w:r>
      <w:r w:rsidR="0016691C">
        <w:t>A</w:t>
      </w:r>
      <w:r>
        <w:t>1 Teacher and Student ICT Use, 2011-2013</w:t>
      </w:r>
    </w:p>
    <w:p w14:paraId="2264C6F0" w14:textId="033016EA" w:rsidR="006064BC" w:rsidRDefault="006064BC" w:rsidP="006064BC">
      <w:r>
        <w:t xml:space="preserve">Figure </w:t>
      </w:r>
      <w:r w:rsidR="0016691C">
        <w:t>A</w:t>
      </w:r>
      <w:r>
        <w:t>2 Effective use of Student Centred Pedagogies, 2011-2013</w:t>
      </w:r>
    </w:p>
    <w:p w14:paraId="1122F6B0" w14:textId="66EBAF73" w:rsidR="006064BC" w:rsidRPr="006064BC" w:rsidRDefault="006064BC" w:rsidP="006064BC">
      <w:r w:rsidRPr="006064BC">
        <w:rPr>
          <w:noProof/>
          <w:lang w:val="en-US"/>
        </w:rPr>
        <w:drawing>
          <wp:anchor distT="0" distB="0" distL="114300" distR="114300" simplePos="0" relativeHeight="251667456" behindDoc="0" locked="0" layoutInCell="1" allowOverlap="1" wp14:anchorId="293BF6C2" wp14:editId="72E50A2D">
            <wp:simplePos x="0" y="0"/>
            <wp:positionH relativeFrom="column">
              <wp:posOffset>-62865</wp:posOffset>
            </wp:positionH>
            <wp:positionV relativeFrom="paragraph">
              <wp:posOffset>4457700</wp:posOffset>
            </wp:positionV>
            <wp:extent cx="5727700" cy="3658235"/>
            <wp:effectExtent l="0" t="0" r="12700" b="0"/>
            <wp:wrapTight wrapText="bothSides">
              <wp:wrapPolygon edited="0">
                <wp:start x="0" y="0"/>
                <wp:lineTo x="0" y="21446"/>
                <wp:lineTo x="21552" y="21446"/>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3658235"/>
                    </a:xfrm>
                    <a:prstGeom prst="rect">
                      <a:avLst/>
                    </a:prstGeom>
                  </pic:spPr>
                </pic:pic>
              </a:graphicData>
            </a:graphic>
          </wp:anchor>
        </w:drawing>
      </w:r>
      <w:r w:rsidRPr="006064BC">
        <w:rPr>
          <w:noProof/>
          <w:lang w:val="en-US"/>
        </w:rPr>
        <w:drawing>
          <wp:anchor distT="0" distB="0" distL="114300" distR="114300" simplePos="0" relativeHeight="251665408" behindDoc="0" locked="0" layoutInCell="1" allowOverlap="1" wp14:anchorId="307E3C93" wp14:editId="75E69CE7">
            <wp:simplePos x="0" y="0"/>
            <wp:positionH relativeFrom="column">
              <wp:posOffset>0</wp:posOffset>
            </wp:positionH>
            <wp:positionV relativeFrom="paragraph">
              <wp:posOffset>182880</wp:posOffset>
            </wp:positionV>
            <wp:extent cx="5727700" cy="3822065"/>
            <wp:effectExtent l="0" t="0" r="12700" b="0"/>
            <wp:wrapTight wrapText="bothSides">
              <wp:wrapPolygon edited="0">
                <wp:start x="0" y="0"/>
                <wp:lineTo x="0" y="21388"/>
                <wp:lineTo x="21552" y="21388"/>
                <wp:lineTo x="215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3822065"/>
                    </a:xfrm>
                    <a:prstGeom prst="rect">
                      <a:avLst/>
                    </a:prstGeom>
                  </pic:spPr>
                </pic:pic>
              </a:graphicData>
            </a:graphic>
          </wp:anchor>
        </w:drawing>
      </w:r>
      <w:r>
        <w:t xml:space="preserve">Figure </w:t>
      </w:r>
      <w:r w:rsidR="0016691C">
        <w:t>A</w:t>
      </w:r>
      <w:r>
        <w:t>3 Extended Learning in the classroom, 2011-2013</w:t>
      </w:r>
    </w:p>
    <w:p w14:paraId="0E421069" w14:textId="719DA8A9" w:rsidR="006064BC" w:rsidRDefault="006064BC" w:rsidP="006841C6"/>
    <w:p w14:paraId="45252C64" w14:textId="7AB6C191" w:rsidR="006064BC" w:rsidRDefault="006064BC" w:rsidP="006841C6">
      <w:r>
        <w:t xml:space="preserve">Figure </w:t>
      </w:r>
      <w:r w:rsidR="0016691C">
        <w:t>A</w:t>
      </w:r>
      <w:r>
        <w:t>4 Overall Innovative Teaching Practices Index 2011-2013</w:t>
      </w:r>
    </w:p>
    <w:sectPr w:rsidR="006064BC" w:rsidSect="002F2C7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174B" w14:textId="77777777" w:rsidR="00224D65" w:rsidRDefault="00224D65" w:rsidP="00E31D67">
      <w:r>
        <w:separator/>
      </w:r>
    </w:p>
  </w:endnote>
  <w:endnote w:type="continuationSeparator" w:id="0">
    <w:p w14:paraId="52E285A7" w14:textId="77777777" w:rsidR="00224D65" w:rsidRDefault="00224D65" w:rsidP="00E3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3EE1" w14:textId="77777777" w:rsidR="00D56A93" w:rsidRDefault="00D56A93" w:rsidP="00D443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BC9BC" w14:textId="77777777" w:rsidR="00D56A93" w:rsidRDefault="00D56A93" w:rsidP="00D56A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F3D6" w14:textId="77777777" w:rsidR="00D56A93" w:rsidRDefault="00D56A93" w:rsidP="00D443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D65">
      <w:rPr>
        <w:rStyle w:val="PageNumber"/>
        <w:noProof/>
      </w:rPr>
      <w:t>1</w:t>
    </w:r>
    <w:r>
      <w:rPr>
        <w:rStyle w:val="PageNumber"/>
      </w:rPr>
      <w:fldChar w:fldCharType="end"/>
    </w:r>
  </w:p>
  <w:p w14:paraId="4DC39915" w14:textId="34108CF6" w:rsidR="00E31D67" w:rsidRDefault="00E31D67" w:rsidP="00D56A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5E44" w14:textId="77777777" w:rsidR="00B65237" w:rsidRDefault="00B65237" w:rsidP="00D443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855">
      <w:rPr>
        <w:rStyle w:val="PageNumber"/>
        <w:noProof/>
      </w:rPr>
      <w:t>8</w:t>
    </w:r>
    <w:r>
      <w:rPr>
        <w:rStyle w:val="PageNumber"/>
      </w:rPr>
      <w:fldChar w:fldCharType="end"/>
    </w:r>
  </w:p>
  <w:p w14:paraId="1F3EE82D" w14:textId="4B5DDA6B" w:rsidR="00B65237" w:rsidRDefault="00B65237" w:rsidP="00B65237">
    <w:pPr>
      <w:pStyle w:val="Footer"/>
      <w:ind w:right="360"/>
    </w:pPr>
    <w:r>
      <w:t>Stephen Pinel S00175624</w:t>
    </w:r>
    <w:r>
      <w:tab/>
    </w:r>
    <w:r>
      <w:tab/>
    </w:r>
    <w:r>
      <w:tab/>
    </w:r>
    <w:r>
      <w:tab/>
    </w:r>
    <w:r>
      <w:tab/>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36422" w14:textId="77777777" w:rsidR="00224D65" w:rsidRDefault="00224D65" w:rsidP="00E31D67">
      <w:r>
        <w:separator/>
      </w:r>
    </w:p>
  </w:footnote>
  <w:footnote w:type="continuationSeparator" w:id="0">
    <w:p w14:paraId="76910BA1" w14:textId="77777777" w:rsidR="00224D65" w:rsidRDefault="00224D65" w:rsidP="00E31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4BD0" w14:textId="6EF1BC8A" w:rsidR="00B65237" w:rsidRDefault="00B65237">
    <w:pPr>
      <w:pStyle w:val="Header"/>
    </w:pPr>
    <w:r>
      <w:t>EDLE633 Leading Authentic Learning</w:t>
    </w:r>
    <w:r>
      <w:tab/>
    </w:r>
    <w:r>
      <w:tab/>
    </w:r>
    <w:r>
      <w:tab/>
    </w:r>
    <w:r>
      <w:tab/>
    </w:r>
    <w:r>
      <w:tab/>
    </w:r>
    <w:r>
      <w:tab/>
      <w:t>Assignment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D29"/>
    <w:multiLevelType w:val="hybridMultilevel"/>
    <w:tmpl w:val="E804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75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A6E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27318"/>
    <w:multiLevelType w:val="multilevel"/>
    <w:tmpl w:val="BF26BA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822FAC"/>
    <w:multiLevelType w:val="multilevel"/>
    <w:tmpl w:val="BF26BA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9960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6444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4B3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B25FC5"/>
    <w:multiLevelType w:val="multilevel"/>
    <w:tmpl w:val="BF26BA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AC80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5B4962"/>
    <w:multiLevelType w:val="multilevel"/>
    <w:tmpl w:val="BF26BA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8972A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E12C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303F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5A2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CE532C"/>
    <w:multiLevelType w:val="multilevel"/>
    <w:tmpl w:val="0D62BB22"/>
    <w:lvl w:ilvl="0">
      <w:start w:val="1"/>
      <w:numFmt w:val="lowerRoman"/>
      <w:lvlText w:val="%1."/>
      <w:lvlJc w:val="righ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66222B"/>
    <w:multiLevelType w:val="hybridMultilevel"/>
    <w:tmpl w:val="15B40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765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3C2E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nsid w:val="629D7B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B50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4E0F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6F3AF2"/>
    <w:multiLevelType w:val="hybridMultilevel"/>
    <w:tmpl w:val="4248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43808"/>
    <w:multiLevelType w:val="hybridMultilevel"/>
    <w:tmpl w:val="9B4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334F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004F3A"/>
    <w:multiLevelType w:val="hybridMultilevel"/>
    <w:tmpl w:val="44D2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5"/>
  </w:num>
  <w:num w:numId="5">
    <w:abstractNumId w:val="3"/>
  </w:num>
  <w:num w:numId="6">
    <w:abstractNumId w:val="23"/>
  </w:num>
  <w:num w:numId="7">
    <w:abstractNumId w:val="0"/>
  </w:num>
  <w:num w:numId="8">
    <w:abstractNumId w:val="25"/>
  </w:num>
  <w:num w:numId="9">
    <w:abstractNumId w:val="16"/>
  </w:num>
  <w:num w:numId="10">
    <w:abstractNumId w:val="22"/>
  </w:num>
  <w:num w:numId="11">
    <w:abstractNumId w:val="24"/>
  </w:num>
  <w:num w:numId="12">
    <w:abstractNumId w:val="7"/>
  </w:num>
  <w:num w:numId="13">
    <w:abstractNumId w:val="18"/>
  </w:num>
  <w:num w:numId="14">
    <w:abstractNumId w:val="6"/>
  </w:num>
  <w:num w:numId="15">
    <w:abstractNumId w:val="20"/>
  </w:num>
  <w:num w:numId="16">
    <w:abstractNumId w:val="21"/>
  </w:num>
  <w:num w:numId="17">
    <w:abstractNumId w:val="14"/>
  </w:num>
  <w:num w:numId="18">
    <w:abstractNumId w:val="1"/>
  </w:num>
  <w:num w:numId="19">
    <w:abstractNumId w:val="19"/>
  </w:num>
  <w:num w:numId="20">
    <w:abstractNumId w:val="13"/>
  </w:num>
  <w:num w:numId="21">
    <w:abstractNumId w:val="17"/>
  </w:num>
  <w:num w:numId="22">
    <w:abstractNumId w:val="11"/>
  </w:num>
  <w:num w:numId="23">
    <w:abstractNumId w:val="12"/>
  </w:num>
  <w:num w:numId="24">
    <w:abstractNumId w:val="2"/>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FD"/>
    <w:rsid w:val="00042B1D"/>
    <w:rsid w:val="0006720E"/>
    <w:rsid w:val="000864DB"/>
    <w:rsid w:val="000B4B7D"/>
    <w:rsid w:val="000B6B5E"/>
    <w:rsid w:val="000C1589"/>
    <w:rsid w:val="000F448B"/>
    <w:rsid w:val="001058E4"/>
    <w:rsid w:val="00114276"/>
    <w:rsid w:val="001231C9"/>
    <w:rsid w:val="0016691C"/>
    <w:rsid w:val="001D4CF1"/>
    <w:rsid w:val="001E2C1A"/>
    <w:rsid w:val="001F7D53"/>
    <w:rsid w:val="00211699"/>
    <w:rsid w:val="002210E9"/>
    <w:rsid w:val="00224D65"/>
    <w:rsid w:val="00230F2B"/>
    <w:rsid w:val="00276655"/>
    <w:rsid w:val="002863A8"/>
    <w:rsid w:val="002A2291"/>
    <w:rsid w:val="002C0A3B"/>
    <w:rsid w:val="002F2C7C"/>
    <w:rsid w:val="003250A7"/>
    <w:rsid w:val="00377D6F"/>
    <w:rsid w:val="00386115"/>
    <w:rsid w:val="003C63E6"/>
    <w:rsid w:val="003D58DE"/>
    <w:rsid w:val="004046EA"/>
    <w:rsid w:val="004065FF"/>
    <w:rsid w:val="004071CA"/>
    <w:rsid w:val="00416E35"/>
    <w:rsid w:val="004438F7"/>
    <w:rsid w:val="00465114"/>
    <w:rsid w:val="00471D04"/>
    <w:rsid w:val="00501DE3"/>
    <w:rsid w:val="00502855"/>
    <w:rsid w:val="00511740"/>
    <w:rsid w:val="005B3202"/>
    <w:rsid w:val="005B480F"/>
    <w:rsid w:val="005C066F"/>
    <w:rsid w:val="005D3452"/>
    <w:rsid w:val="005D4F12"/>
    <w:rsid w:val="005E42B7"/>
    <w:rsid w:val="006064BC"/>
    <w:rsid w:val="00633F96"/>
    <w:rsid w:val="00635052"/>
    <w:rsid w:val="00637163"/>
    <w:rsid w:val="00644ED1"/>
    <w:rsid w:val="0064699A"/>
    <w:rsid w:val="00660957"/>
    <w:rsid w:val="006841C6"/>
    <w:rsid w:val="00687854"/>
    <w:rsid w:val="00694116"/>
    <w:rsid w:val="006E5329"/>
    <w:rsid w:val="007445C9"/>
    <w:rsid w:val="007456B6"/>
    <w:rsid w:val="00756FE4"/>
    <w:rsid w:val="0075793F"/>
    <w:rsid w:val="0078161F"/>
    <w:rsid w:val="00794E80"/>
    <w:rsid w:val="007A10C0"/>
    <w:rsid w:val="007C0E99"/>
    <w:rsid w:val="0084330E"/>
    <w:rsid w:val="008567FB"/>
    <w:rsid w:val="00863EA4"/>
    <w:rsid w:val="00885290"/>
    <w:rsid w:val="008A2DEC"/>
    <w:rsid w:val="008C21A0"/>
    <w:rsid w:val="008D0FE2"/>
    <w:rsid w:val="008E726C"/>
    <w:rsid w:val="00923A8C"/>
    <w:rsid w:val="00943557"/>
    <w:rsid w:val="009B4AD7"/>
    <w:rsid w:val="009B565A"/>
    <w:rsid w:val="009C34B0"/>
    <w:rsid w:val="009C60D1"/>
    <w:rsid w:val="009C7665"/>
    <w:rsid w:val="00A7335E"/>
    <w:rsid w:val="00A86DBF"/>
    <w:rsid w:val="00AC5BB3"/>
    <w:rsid w:val="00AE17FD"/>
    <w:rsid w:val="00B305BD"/>
    <w:rsid w:val="00B33241"/>
    <w:rsid w:val="00B462EE"/>
    <w:rsid w:val="00B46D00"/>
    <w:rsid w:val="00B61DF9"/>
    <w:rsid w:val="00B65237"/>
    <w:rsid w:val="00B92565"/>
    <w:rsid w:val="00BC2A06"/>
    <w:rsid w:val="00BD1FFD"/>
    <w:rsid w:val="00C0424C"/>
    <w:rsid w:val="00C04749"/>
    <w:rsid w:val="00C05449"/>
    <w:rsid w:val="00C4180A"/>
    <w:rsid w:val="00C76E29"/>
    <w:rsid w:val="00C928BD"/>
    <w:rsid w:val="00CA30D7"/>
    <w:rsid w:val="00CE5CDB"/>
    <w:rsid w:val="00D14400"/>
    <w:rsid w:val="00D27DC8"/>
    <w:rsid w:val="00D46552"/>
    <w:rsid w:val="00D51963"/>
    <w:rsid w:val="00D56A93"/>
    <w:rsid w:val="00D63C99"/>
    <w:rsid w:val="00DD64CB"/>
    <w:rsid w:val="00E31D67"/>
    <w:rsid w:val="00E768DE"/>
    <w:rsid w:val="00E8227F"/>
    <w:rsid w:val="00E822B4"/>
    <w:rsid w:val="00E933BA"/>
    <w:rsid w:val="00EA1961"/>
    <w:rsid w:val="00ED605C"/>
    <w:rsid w:val="00FD3734"/>
    <w:rsid w:val="00FE13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0C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052"/>
    <w:pPr>
      <w:ind w:left="720"/>
      <w:contextualSpacing/>
    </w:pPr>
  </w:style>
  <w:style w:type="character" w:styleId="CommentReference">
    <w:name w:val="annotation reference"/>
    <w:basedOn w:val="DefaultParagraphFont"/>
    <w:uiPriority w:val="99"/>
    <w:semiHidden/>
    <w:unhideWhenUsed/>
    <w:rsid w:val="00635052"/>
    <w:rPr>
      <w:sz w:val="18"/>
      <w:szCs w:val="18"/>
    </w:rPr>
  </w:style>
  <w:style w:type="paragraph" w:styleId="CommentText">
    <w:name w:val="annotation text"/>
    <w:basedOn w:val="Normal"/>
    <w:link w:val="CommentTextChar"/>
    <w:uiPriority w:val="99"/>
    <w:semiHidden/>
    <w:unhideWhenUsed/>
    <w:rsid w:val="00635052"/>
  </w:style>
  <w:style w:type="character" w:customStyle="1" w:styleId="CommentTextChar">
    <w:name w:val="Comment Text Char"/>
    <w:basedOn w:val="DefaultParagraphFont"/>
    <w:link w:val="CommentText"/>
    <w:uiPriority w:val="99"/>
    <w:semiHidden/>
    <w:rsid w:val="00635052"/>
  </w:style>
  <w:style w:type="paragraph" w:styleId="CommentSubject">
    <w:name w:val="annotation subject"/>
    <w:basedOn w:val="CommentText"/>
    <w:next w:val="CommentText"/>
    <w:link w:val="CommentSubjectChar"/>
    <w:uiPriority w:val="99"/>
    <w:semiHidden/>
    <w:unhideWhenUsed/>
    <w:rsid w:val="00635052"/>
    <w:rPr>
      <w:b/>
      <w:bCs/>
      <w:sz w:val="20"/>
      <w:szCs w:val="20"/>
    </w:rPr>
  </w:style>
  <w:style w:type="character" w:customStyle="1" w:styleId="CommentSubjectChar">
    <w:name w:val="Comment Subject Char"/>
    <w:basedOn w:val="CommentTextChar"/>
    <w:link w:val="CommentSubject"/>
    <w:uiPriority w:val="99"/>
    <w:semiHidden/>
    <w:rsid w:val="00635052"/>
    <w:rPr>
      <w:b/>
      <w:bCs/>
      <w:sz w:val="20"/>
      <w:szCs w:val="20"/>
    </w:rPr>
  </w:style>
  <w:style w:type="paragraph" w:styleId="BalloonText">
    <w:name w:val="Balloon Text"/>
    <w:basedOn w:val="Normal"/>
    <w:link w:val="BalloonTextChar"/>
    <w:uiPriority w:val="99"/>
    <w:semiHidden/>
    <w:unhideWhenUsed/>
    <w:rsid w:val="006350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052"/>
    <w:rPr>
      <w:rFonts w:ascii="Times New Roman" w:hAnsi="Times New Roman" w:cs="Times New Roman"/>
      <w:sz w:val="18"/>
      <w:szCs w:val="18"/>
    </w:rPr>
  </w:style>
  <w:style w:type="character" w:customStyle="1" w:styleId="Heading1Char">
    <w:name w:val="Heading 1 Char"/>
    <w:basedOn w:val="DefaultParagraphFont"/>
    <w:link w:val="Heading1"/>
    <w:uiPriority w:val="9"/>
    <w:rsid w:val="00C0424C"/>
    <w:rPr>
      <w:rFonts w:asciiTheme="majorHAnsi" w:eastAsiaTheme="majorEastAsia" w:hAnsiTheme="majorHAnsi" w:cstheme="majorBidi"/>
      <w:b/>
      <w:bCs/>
      <w:color w:val="2E74B5" w:themeColor="accent1" w:themeShade="BF"/>
      <w:sz w:val="28"/>
      <w:szCs w:val="28"/>
      <w:lang w:val="en-US" w:bidi="en-US"/>
    </w:rPr>
  </w:style>
  <w:style w:type="paragraph" w:styleId="Bibliography">
    <w:name w:val="Bibliography"/>
    <w:basedOn w:val="Normal"/>
    <w:next w:val="Normal"/>
    <w:uiPriority w:val="37"/>
    <w:unhideWhenUsed/>
    <w:rsid w:val="00C0424C"/>
  </w:style>
  <w:style w:type="table" w:styleId="TableGrid">
    <w:name w:val="Table Grid"/>
    <w:basedOn w:val="TableNormal"/>
    <w:uiPriority w:val="39"/>
    <w:rsid w:val="009B5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567FB"/>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E31D67"/>
    <w:pPr>
      <w:tabs>
        <w:tab w:val="center" w:pos="4513"/>
        <w:tab w:val="right" w:pos="9026"/>
      </w:tabs>
    </w:pPr>
  </w:style>
  <w:style w:type="character" w:customStyle="1" w:styleId="HeaderChar">
    <w:name w:val="Header Char"/>
    <w:basedOn w:val="DefaultParagraphFont"/>
    <w:link w:val="Header"/>
    <w:uiPriority w:val="99"/>
    <w:rsid w:val="00E31D67"/>
  </w:style>
  <w:style w:type="paragraph" w:styleId="Footer">
    <w:name w:val="footer"/>
    <w:basedOn w:val="Normal"/>
    <w:link w:val="FooterChar"/>
    <w:uiPriority w:val="99"/>
    <w:unhideWhenUsed/>
    <w:rsid w:val="00E31D67"/>
    <w:pPr>
      <w:tabs>
        <w:tab w:val="center" w:pos="4513"/>
        <w:tab w:val="right" w:pos="9026"/>
      </w:tabs>
    </w:pPr>
  </w:style>
  <w:style w:type="character" w:customStyle="1" w:styleId="FooterChar">
    <w:name w:val="Footer Char"/>
    <w:basedOn w:val="DefaultParagraphFont"/>
    <w:link w:val="Footer"/>
    <w:uiPriority w:val="99"/>
    <w:rsid w:val="00E31D67"/>
  </w:style>
  <w:style w:type="character" w:styleId="PageNumber">
    <w:name w:val="page number"/>
    <w:basedOn w:val="DefaultParagraphFont"/>
    <w:uiPriority w:val="99"/>
    <w:semiHidden/>
    <w:unhideWhenUsed/>
    <w:rsid w:val="00D56A93"/>
  </w:style>
  <w:style w:type="paragraph" w:styleId="TOCHeading">
    <w:name w:val="TOC Heading"/>
    <w:basedOn w:val="Heading1"/>
    <w:next w:val="Normal"/>
    <w:uiPriority w:val="39"/>
    <w:unhideWhenUsed/>
    <w:qFormat/>
    <w:rsid w:val="00276655"/>
    <w:pPr>
      <w:outlineLvl w:val="9"/>
    </w:pPr>
    <w:rPr>
      <w:lang w:bidi="ar-SA"/>
    </w:rPr>
  </w:style>
  <w:style w:type="paragraph" w:styleId="TOC1">
    <w:name w:val="toc 1"/>
    <w:basedOn w:val="Normal"/>
    <w:next w:val="Normal"/>
    <w:autoRedefine/>
    <w:uiPriority w:val="39"/>
    <w:unhideWhenUsed/>
    <w:rsid w:val="00276655"/>
    <w:pPr>
      <w:spacing w:before="120"/>
    </w:pPr>
    <w:rPr>
      <w:b/>
      <w:caps/>
      <w:sz w:val="22"/>
      <w:szCs w:val="22"/>
    </w:rPr>
  </w:style>
  <w:style w:type="character" w:styleId="Hyperlink">
    <w:name w:val="Hyperlink"/>
    <w:basedOn w:val="DefaultParagraphFont"/>
    <w:uiPriority w:val="99"/>
    <w:unhideWhenUsed/>
    <w:rsid w:val="00276655"/>
    <w:rPr>
      <w:color w:val="0563C1" w:themeColor="hyperlink"/>
      <w:u w:val="single"/>
    </w:rPr>
  </w:style>
  <w:style w:type="paragraph" w:styleId="TOC2">
    <w:name w:val="toc 2"/>
    <w:basedOn w:val="Normal"/>
    <w:next w:val="Normal"/>
    <w:autoRedefine/>
    <w:uiPriority w:val="39"/>
    <w:semiHidden/>
    <w:unhideWhenUsed/>
    <w:rsid w:val="00276655"/>
    <w:pPr>
      <w:ind w:left="240"/>
    </w:pPr>
    <w:rPr>
      <w:smallCaps/>
      <w:sz w:val="22"/>
      <w:szCs w:val="22"/>
    </w:rPr>
  </w:style>
  <w:style w:type="paragraph" w:styleId="TOC3">
    <w:name w:val="toc 3"/>
    <w:basedOn w:val="Normal"/>
    <w:next w:val="Normal"/>
    <w:autoRedefine/>
    <w:uiPriority w:val="39"/>
    <w:semiHidden/>
    <w:unhideWhenUsed/>
    <w:rsid w:val="00276655"/>
    <w:pPr>
      <w:ind w:left="480"/>
    </w:pPr>
    <w:rPr>
      <w:i/>
      <w:sz w:val="22"/>
      <w:szCs w:val="22"/>
    </w:rPr>
  </w:style>
  <w:style w:type="paragraph" w:styleId="TOC4">
    <w:name w:val="toc 4"/>
    <w:basedOn w:val="Normal"/>
    <w:next w:val="Normal"/>
    <w:autoRedefine/>
    <w:uiPriority w:val="39"/>
    <w:semiHidden/>
    <w:unhideWhenUsed/>
    <w:rsid w:val="00276655"/>
    <w:pPr>
      <w:ind w:left="720"/>
    </w:pPr>
    <w:rPr>
      <w:sz w:val="18"/>
      <w:szCs w:val="18"/>
    </w:rPr>
  </w:style>
  <w:style w:type="paragraph" w:styleId="TOC5">
    <w:name w:val="toc 5"/>
    <w:basedOn w:val="Normal"/>
    <w:next w:val="Normal"/>
    <w:autoRedefine/>
    <w:uiPriority w:val="39"/>
    <w:semiHidden/>
    <w:unhideWhenUsed/>
    <w:rsid w:val="00276655"/>
    <w:pPr>
      <w:ind w:left="960"/>
    </w:pPr>
    <w:rPr>
      <w:sz w:val="18"/>
      <w:szCs w:val="18"/>
    </w:rPr>
  </w:style>
  <w:style w:type="paragraph" w:styleId="TOC6">
    <w:name w:val="toc 6"/>
    <w:basedOn w:val="Normal"/>
    <w:next w:val="Normal"/>
    <w:autoRedefine/>
    <w:uiPriority w:val="39"/>
    <w:semiHidden/>
    <w:unhideWhenUsed/>
    <w:rsid w:val="00276655"/>
    <w:pPr>
      <w:ind w:left="1200"/>
    </w:pPr>
    <w:rPr>
      <w:sz w:val="18"/>
      <w:szCs w:val="18"/>
    </w:rPr>
  </w:style>
  <w:style w:type="paragraph" w:styleId="TOC7">
    <w:name w:val="toc 7"/>
    <w:basedOn w:val="Normal"/>
    <w:next w:val="Normal"/>
    <w:autoRedefine/>
    <w:uiPriority w:val="39"/>
    <w:semiHidden/>
    <w:unhideWhenUsed/>
    <w:rsid w:val="00276655"/>
    <w:pPr>
      <w:ind w:left="1440"/>
    </w:pPr>
    <w:rPr>
      <w:sz w:val="18"/>
      <w:szCs w:val="18"/>
    </w:rPr>
  </w:style>
  <w:style w:type="paragraph" w:styleId="TOC8">
    <w:name w:val="toc 8"/>
    <w:basedOn w:val="Normal"/>
    <w:next w:val="Normal"/>
    <w:autoRedefine/>
    <w:uiPriority w:val="39"/>
    <w:semiHidden/>
    <w:unhideWhenUsed/>
    <w:rsid w:val="00276655"/>
    <w:pPr>
      <w:ind w:left="1680"/>
    </w:pPr>
    <w:rPr>
      <w:sz w:val="18"/>
      <w:szCs w:val="18"/>
    </w:rPr>
  </w:style>
  <w:style w:type="paragraph" w:styleId="TOC9">
    <w:name w:val="toc 9"/>
    <w:basedOn w:val="Normal"/>
    <w:next w:val="Normal"/>
    <w:autoRedefine/>
    <w:uiPriority w:val="39"/>
    <w:semiHidden/>
    <w:unhideWhenUsed/>
    <w:rsid w:val="00276655"/>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669">
      <w:bodyDiv w:val="1"/>
      <w:marLeft w:val="0"/>
      <w:marRight w:val="0"/>
      <w:marTop w:val="0"/>
      <w:marBottom w:val="0"/>
      <w:divBdr>
        <w:top w:val="none" w:sz="0" w:space="0" w:color="auto"/>
        <w:left w:val="none" w:sz="0" w:space="0" w:color="auto"/>
        <w:bottom w:val="none" w:sz="0" w:space="0" w:color="auto"/>
        <w:right w:val="none" w:sz="0" w:space="0" w:color="auto"/>
      </w:divBdr>
    </w:div>
    <w:div w:id="48693418">
      <w:bodyDiv w:val="1"/>
      <w:marLeft w:val="0"/>
      <w:marRight w:val="0"/>
      <w:marTop w:val="0"/>
      <w:marBottom w:val="0"/>
      <w:divBdr>
        <w:top w:val="none" w:sz="0" w:space="0" w:color="auto"/>
        <w:left w:val="none" w:sz="0" w:space="0" w:color="auto"/>
        <w:bottom w:val="none" w:sz="0" w:space="0" w:color="auto"/>
        <w:right w:val="none" w:sz="0" w:space="0" w:color="auto"/>
      </w:divBdr>
    </w:div>
    <w:div w:id="58601017">
      <w:bodyDiv w:val="1"/>
      <w:marLeft w:val="0"/>
      <w:marRight w:val="0"/>
      <w:marTop w:val="0"/>
      <w:marBottom w:val="0"/>
      <w:divBdr>
        <w:top w:val="none" w:sz="0" w:space="0" w:color="auto"/>
        <w:left w:val="none" w:sz="0" w:space="0" w:color="auto"/>
        <w:bottom w:val="none" w:sz="0" w:space="0" w:color="auto"/>
        <w:right w:val="none" w:sz="0" w:space="0" w:color="auto"/>
      </w:divBdr>
    </w:div>
    <w:div w:id="88627442">
      <w:bodyDiv w:val="1"/>
      <w:marLeft w:val="0"/>
      <w:marRight w:val="0"/>
      <w:marTop w:val="0"/>
      <w:marBottom w:val="0"/>
      <w:divBdr>
        <w:top w:val="none" w:sz="0" w:space="0" w:color="auto"/>
        <w:left w:val="none" w:sz="0" w:space="0" w:color="auto"/>
        <w:bottom w:val="none" w:sz="0" w:space="0" w:color="auto"/>
        <w:right w:val="none" w:sz="0" w:space="0" w:color="auto"/>
      </w:divBdr>
    </w:div>
    <w:div w:id="97256876">
      <w:bodyDiv w:val="1"/>
      <w:marLeft w:val="0"/>
      <w:marRight w:val="0"/>
      <w:marTop w:val="0"/>
      <w:marBottom w:val="0"/>
      <w:divBdr>
        <w:top w:val="none" w:sz="0" w:space="0" w:color="auto"/>
        <w:left w:val="none" w:sz="0" w:space="0" w:color="auto"/>
        <w:bottom w:val="none" w:sz="0" w:space="0" w:color="auto"/>
        <w:right w:val="none" w:sz="0" w:space="0" w:color="auto"/>
      </w:divBdr>
    </w:div>
    <w:div w:id="140276923">
      <w:bodyDiv w:val="1"/>
      <w:marLeft w:val="0"/>
      <w:marRight w:val="0"/>
      <w:marTop w:val="0"/>
      <w:marBottom w:val="0"/>
      <w:divBdr>
        <w:top w:val="none" w:sz="0" w:space="0" w:color="auto"/>
        <w:left w:val="none" w:sz="0" w:space="0" w:color="auto"/>
        <w:bottom w:val="none" w:sz="0" w:space="0" w:color="auto"/>
        <w:right w:val="none" w:sz="0" w:space="0" w:color="auto"/>
      </w:divBdr>
    </w:div>
    <w:div w:id="154492886">
      <w:bodyDiv w:val="1"/>
      <w:marLeft w:val="0"/>
      <w:marRight w:val="0"/>
      <w:marTop w:val="0"/>
      <w:marBottom w:val="0"/>
      <w:divBdr>
        <w:top w:val="none" w:sz="0" w:space="0" w:color="auto"/>
        <w:left w:val="none" w:sz="0" w:space="0" w:color="auto"/>
        <w:bottom w:val="none" w:sz="0" w:space="0" w:color="auto"/>
        <w:right w:val="none" w:sz="0" w:space="0" w:color="auto"/>
      </w:divBdr>
    </w:div>
    <w:div w:id="159542190">
      <w:bodyDiv w:val="1"/>
      <w:marLeft w:val="0"/>
      <w:marRight w:val="0"/>
      <w:marTop w:val="0"/>
      <w:marBottom w:val="0"/>
      <w:divBdr>
        <w:top w:val="none" w:sz="0" w:space="0" w:color="auto"/>
        <w:left w:val="none" w:sz="0" w:space="0" w:color="auto"/>
        <w:bottom w:val="none" w:sz="0" w:space="0" w:color="auto"/>
        <w:right w:val="none" w:sz="0" w:space="0" w:color="auto"/>
      </w:divBdr>
    </w:div>
    <w:div w:id="227496790">
      <w:bodyDiv w:val="1"/>
      <w:marLeft w:val="0"/>
      <w:marRight w:val="0"/>
      <w:marTop w:val="0"/>
      <w:marBottom w:val="0"/>
      <w:divBdr>
        <w:top w:val="none" w:sz="0" w:space="0" w:color="auto"/>
        <w:left w:val="none" w:sz="0" w:space="0" w:color="auto"/>
        <w:bottom w:val="none" w:sz="0" w:space="0" w:color="auto"/>
        <w:right w:val="none" w:sz="0" w:space="0" w:color="auto"/>
      </w:divBdr>
    </w:div>
    <w:div w:id="236481395">
      <w:bodyDiv w:val="1"/>
      <w:marLeft w:val="0"/>
      <w:marRight w:val="0"/>
      <w:marTop w:val="0"/>
      <w:marBottom w:val="0"/>
      <w:divBdr>
        <w:top w:val="none" w:sz="0" w:space="0" w:color="auto"/>
        <w:left w:val="none" w:sz="0" w:space="0" w:color="auto"/>
        <w:bottom w:val="none" w:sz="0" w:space="0" w:color="auto"/>
        <w:right w:val="none" w:sz="0" w:space="0" w:color="auto"/>
      </w:divBdr>
    </w:div>
    <w:div w:id="317878077">
      <w:bodyDiv w:val="1"/>
      <w:marLeft w:val="0"/>
      <w:marRight w:val="0"/>
      <w:marTop w:val="0"/>
      <w:marBottom w:val="0"/>
      <w:divBdr>
        <w:top w:val="none" w:sz="0" w:space="0" w:color="auto"/>
        <w:left w:val="none" w:sz="0" w:space="0" w:color="auto"/>
        <w:bottom w:val="none" w:sz="0" w:space="0" w:color="auto"/>
        <w:right w:val="none" w:sz="0" w:space="0" w:color="auto"/>
      </w:divBdr>
    </w:div>
    <w:div w:id="337928448">
      <w:bodyDiv w:val="1"/>
      <w:marLeft w:val="0"/>
      <w:marRight w:val="0"/>
      <w:marTop w:val="0"/>
      <w:marBottom w:val="0"/>
      <w:divBdr>
        <w:top w:val="none" w:sz="0" w:space="0" w:color="auto"/>
        <w:left w:val="none" w:sz="0" w:space="0" w:color="auto"/>
        <w:bottom w:val="none" w:sz="0" w:space="0" w:color="auto"/>
        <w:right w:val="none" w:sz="0" w:space="0" w:color="auto"/>
      </w:divBdr>
    </w:div>
    <w:div w:id="368845996">
      <w:bodyDiv w:val="1"/>
      <w:marLeft w:val="0"/>
      <w:marRight w:val="0"/>
      <w:marTop w:val="0"/>
      <w:marBottom w:val="0"/>
      <w:divBdr>
        <w:top w:val="none" w:sz="0" w:space="0" w:color="auto"/>
        <w:left w:val="none" w:sz="0" w:space="0" w:color="auto"/>
        <w:bottom w:val="none" w:sz="0" w:space="0" w:color="auto"/>
        <w:right w:val="none" w:sz="0" w:space="0" w:color="auto"/>
      </w:divBdr>
    </w:div>
    <w:div w:id="404031827">
      <w:bodyDiv w:val="1"/>
      <w:marLeft w:val="0"/>
      <w:marRight w:val="0"/>
      <w:marTop w:val="0"/>
      <w:marBottom w:val="0"/>
      <w:divBdr>
        <w:top w:val="none" w:sz="0" w:space="0" w:color="auto"/>
        <w:left w:val="none" w:sz="0" w:space="0" w:color="auto"/>
        <w:bottom w:val="none" w:sz="0" w:space="0" w:color="auto"/>
        <w:right w:val="none" w:sz="0" w:space="0" w:color="auto"/>
      </w:divBdr>
    </w:div>
    <w:div w:id="415127186">
      <w:bodyDiv w:val="1"/>
      <w:marLeft w:val="0"/>
      <w:marRight w:val="0"/>
      <w:marTop w:val="0"/>
      <w:marBottom w:val="0"/>
      <w:divBdr>
        <w:top w:val="none" w:sz="0" w:space="0" w:color="auto"/>
        <w:left w:val="none" w:sz="0" w:space="0" w:color="auto"/>
        <w:bottom w:val="none" w:sz="0" w:space="0" w:color="auto"/>
        <w:right w:val="none" w:sz="0" w:space="0" w:color="auto"/>
      </w:divBdr>
    </w:div>
    <w:div w:id="453444837">
      <w:bodyDiv w:val="1"/>
      <w:marLeft w:val="0"/>
      <w:marRight w:val="0"/>
      <w:marTop w:val="0"/>
      <w:marBottom w:val="0"/>
      <w:divBdr>
        <w:top w:val="none" w:sz="0" w:space="0" w:color="auto"/>
        <w:left w:val="none" w:sz="0" w:space="0" w:color="auto"/>
        <w:bottom w:val="none" w:sz="0" w:space="0" w:color="auto"/>
        <w:right w:val="none" w:sz="0" w:space="0" w:color="auto"/>
      </w:divBdr>
    </w:div>
    <w:div w:id="469710104">
      <w:bodyDiv w:val="1"/>
      <w:marLeft w:val="0"/>
      <w:marRight w:val="0"/>
      <w:marTop w:val="0"/>
      <w:marBottom w:val="0"/>
      <w:divBdr>
        <w:top w:val="none" w:sz="0" w:space="0" w:color="auto"/>
        <w:left w:val="none" w:sz="0" w:space="0" w:color="auto"/>
        <w:bottom w:val="none" w:sz="0" w:space="0" w:color="auto"/>
        <w:right w:val="none" w:sz="0" w:space="0" w:color="auto"/>
      </w:divBdr>
    </w:div>
    <w:div w:id="492187443">
      <w:bodyDiv w:val="1"/>
      <w:marLeft w:val="0"/>
      <w:marRight w:val="0"/>
      <w:marTop w:val="0"/>
      <w:marBottom w:val="0"/>
      <w:divBdr>
        <w:top w:val="none" w:sz="0" w:space="0" w:color="auto"/>
        <w:left w:val="none" w:sz="0" w:space="0" w:color="auto"/>
        <w:bottom w:val="none" w:sz="0" w:space="0" w:color="auto"/>
        <w:right w:val="none" w:sz="0" w:space="0" w:color="auto"/>
      </w:divBdr>
    </w:div>
    <w:div w:id="538518095">
      <w:bodyDiv w:val="1"/>
      <w:marLeft w:val="0"/>
      <w:marRight w:val="0"/>
      <w:marTop w:val="0"/>
      <w:marBottom w:val="0"/>
      <w:divBdr>
        <w:top w:val="none" w:sz="0" w:space="0" w:color="auto"/>
        <w:left w:val="none" w:sz="0" w:space="0" w:color="auto"/>
        <w:bottom w:val="none" w:sz="0" w:space="0" w:color="auto"/>
        <w:right w:val="none" w:sz="0" w:space="0" w:color="auto"/>
      </w:divBdr>
    </w:div>
    <w:div w:id="563756305">
      <w:bodyDiv w:val="1"/>
      <w:marLeft w:val="0"/>
      <w:marRight w:val="0"/>
      <w:marTop w:val="0"/>
      <w:marBottom w:val="0"/>
      <w:divBdr>
        <w:top w:val="none" w:sz="0" w:space="0" w:color="auto"/>
        <w:left w:val="none" w:sz="0" w:space="0" w:color="auto"/>
        <w:bottom w:val="none" w:sz="0" w:space="0" w:color="auto"/>
        <w:right w:val="none" w:sz="0" w:space="0" w:color="auto"/>
      </w:divBdr>
    </w:div>
    <w:div w:id="584921926">
      <w:bodyDiv w:val="1"/>
      <w:marLeft w:val="0"/>
      <w:marRight w:val="0"/>
      <w:marTop w:val="0"/>
      <w:marBottom w:val="0"/>
      <w:divBdr>
        <w:top w:val="none" w:sz="0" w:space="0" w:color="auto"/>
        <w:left w:val="none" w:sz="0" w:space="0" w:color="auto"/>
        <w:bottom w:val="none" w:sz="0" w:space="0" w:color="auto"/>
        <w:right w:val="none" w:sz="0" w:space="0" w:color="auto"/>
      </w:divBdr>
    </w:div>
    <w:div w:id="610479888">
      <w:bodyDiv w:val="1"/>
      <w:marLeft w:val="0"/>
      <w:marRight w:val="0"/>
      <w:marTop w:val="0"/>
      <w:marBottom w:val="0"/>
      <w:divBdr>
        <w:top w:val="none" w:sz="0" w:space="0" w:color="auto"/>
        <w:left w:val="none" w:sz="0" w:space="0" w:color="auto"/>
        <w:bottom w:val="none" w:sz="0" w:space="0" w:color="auto"/>
        <w:right w:val="none" w:sz="0" w:space="0" w:color="auto"/>
      </w:divBdr>
    </w:div>
    <w:div w:id="644239961">
      <w:bodyDiv w:val="1"/>
      <w:marLeft w:val="0"/>
      <w:marRight w:val="0"/>
      <w:marTop w:val="0"/>
      <w:marBottom w:val="0"/>
      <w:divBdr>
        <w:top w:val="none" w:sz="0" w:space="0" w:color="auto"/>
        <w:left w:val="none" w:sz="0" w:space="0" w:color="auto"/>
        <w:bottom w:val="none" w:sz="0" w:space="0" w:color="auto"/>
        <w:right w:val="none" w:sz="0" w:space="0" w:color="auto"/>
      </w:divBdr>
    </w:div>
    <w:div w:id="680157136">
      <w:bodyDiv w:val="1"/>
      <w:marLeft w:val="0"/>
      <w:marRight w:val="0"/>
      <w:marTop w:val="0"/>
      <w:marBottom w:val="0"/>
      <w:divBdr>
        <w:top w:val="none" w:sz="0" w:space="0" w:color="auto"/>
        <w:left w:val="none" w:sz="0" w:space="0" w:color="auto"/>
        <w:bottom w:val="none" w:sz="0" w:space="0" w:color="auto"/>
        <w:right w:val="none" w:sz="0" w:space="0" w:color="auto"/>
      </w:divBdr>
    </w:div>
    <w:div w:id="696346503">
      <w:bodyDiv w:val="1"/>
      <w:marLeft w:val="0"/>
      <w:marRight w:val="0"/>
      <w:marTop w:val="0"/>
      <w:marBottom w:val="0"/>
      <w:divBdr>
        <w:top w:val="none" w:sz="0" w:space="0" w:color="auto"/>
        <w:left w:val="none" w:sz="0" w:space="0" w:color="auto"/>
        <w:bottom w:val="none" w:sz="0" w:space="0" w:color="auto"/>
        <w:right w:val="none" w:sz="0" w:space="0" w:color="auto"/>
      </w:divBdr>
    </w:div>
    <w:div w:id="700201320">
      <w:bodyDiv w:val="1"/>
      <w:marLeft w:val="0"/>
      <w:marRight w:val="0"/>
      <w:marTop w:val="0"/>
      <w:marBottom w:val="0"/>
      <w:divBdr>
        <w:top w:val="none" w:sz="0" w:space="0" w:color="auto"/>
        <w:left w:val="none" w:sz="0" w:space="0" w:color="auto"/>
        <w:bottom w:val="none" w:sz="0" w:space="0" w:color="auto"/>
        <w:right w:val="none" w:sz="0" w:space="0" w:color="auto"/>
      </w:divBdr>
    </w:div>
    <w:div w:id="745147026">
      <w:bodyDiv w:val="1"/>
      <w:marLeft w:val="0"/>
      <w:marRight w:val="0"/>
      <w:marTop w:val="0"/>
      <w:marBottom w:val="0"/>
      <w:divBdr>
        <w:top w:val="none" w:sz="0" w:space="0" w:color="auto"/>
        <w:left w:val="none" w:sz="0" w:space="0" w:color="auto"/>
        <w:bottom w:val="none" w:sz="0" w:space="0" w:color="auto"/>
        <w:right w:val="none" w:sz="0" w:space="0" w:color="auto"/>
      </w:divBdr>
    </w:div>
    <w:div w:id="750932973">
      <w:bodyDiv w:val="1"/>
      <w:marLeft w:val="0"/>
      <w:marRight w:val="0"/>
      <w:marTop w:val="0"/>
      <w:marBottom w:val="0"/>
      <w:divBdr>
        <w:top w:val="none" w:sz="0" w:space="0" w:color="auto"/>
        <w:left w:val="none" w:sz="0" w:space="0" w:color="auto"/>
        <w:bottom w:val="none" w:sz="0" w:space="0" w:color="auto"/>
        <w:right w:val="none" w:sz="0" w:space="0" w:color="auto"/>
      </w:divBdr>
    </w:div>
    <w:div w:id="751242719">
      <w:bodyDiv w:val="1"/>
      <w:marLeft w:val="0"/>
      <w:marRight w:val="0"/>
      <w:marTop w:val="0"/>
      <w:marBottom w:val="0"/>
      <w:divBdr>
        <w:top w:val="none" w:sz="0" w:space="0" w:color="auto"/>
        <w:left w:val="none" w:sz="0" w:space="0" w:color="auto"/>
        <w:bottom w:val="none" w:sz="0" w:space="0" w:color="auto"/>
        <w:right w:val="none" w:sz="0" w:space="0" w:color="auto"/>
      </w:divBdr>
    </w:div>
    <w:div w:id="815415195">
      <w:bodyDiv w:val="1"/>
      <w:marLeft w:val="0"/>
      <w:marRight w:val="0"/>
      <w:marTop w:val="0"/>
      <w:marBottom w:val="0"/>
      <w:divBdr>
        <w:top w:val="none" w:sz="0" w:space="0" w:color="auto"/>
        <w:left w:val="none" w:sz="0" w:space="0" w:color="auto"/>
        <w:bottom w:val="none" w:sz="0" w:space="0" w:color="auto"/>
        <w:right w:val="none" w:sz="0" w:space="0" w:color="auto"/>
      </w:divBdr>
    </w:div>
    <w:div w:id="826750016">
      <w:bodyDiv w:val="1"/>
      <w:marLeft w:val="0"/>
      <w:marRight w:val="0"/>
      <w:marTop w:val="0"/>
      <w:marBottom w:val="0"/>
      <w:divBdr>
        <w:top w:val="none" w:sz="0" w:space="0" w:color="auto"/>
        <w:left w:val="none" w:sz="0" w:space="0" w:color="auto"/>
        <w:bottom w:val="none" w:sz="0" w:space="0" w:color="auto"/>
        <w:right w:val="none" w:sz="0" w:space="0" w:color="auto"/>
      </w:divBdr>
    </w:div>
    <w:div w:id="839738836">
      <w:bodyDiv w:val="1"/>
      <w:marLeft w:val="0"/>
      <w:marRight w:val="0"/>
      <w:marTop w:val="0"/>
      <w:marBottom w:val="0"/>
      <w:divBdr>
        <w:top w:val="none" w:sz="0" w:space="0" w:color="auto"/>
        <w:left w:val="none" w:sz="0" w:space="0" w:color="auto"/>
        <w:bottom w:val="none" w:sz="0" w:space="0" w:color="auto"/>
        <w:right w:val="none" w:sz="0" w:space="0" w:color="auto"/>
      </w:divBdr>
    </w:div>
    <w:div w:id="860585606">
      <w:bodyDiv w:val="1"/>
      <w:marLeft w:val="0"/>
      <w:marRight w:val="0"/>
      <w:marTop w:val="0"/>
      <w:marBottom w:val="0"/>
      <w:divBdr>
        <w:top w:val="none" w:sz="0" w:space="0" w:color="auto"/>
        <w:left w:val="none" w:sz="0" w:space="0" w:color="auto"/>
        <w:bottom w:val="none" w:sz="0" w:space="0" w:color="auto"/>
        <w:right w:val="none" w:sz="0" w:space="0" w:color="auto"/>
      </w:divBdr>
    </w:div>
    <w:div w:id="902563976">
      <w:bodyDiv w:val="1"/>
      <w:marLeft w:val="0"/>
      <w:marRight w:val="0"/>
      <w:marTop w:val="0"/>
      <w:marBottom w:val="0"/>
      <w:divBdr>
        <w:top w:val="none" w:sz="0" w:space="0" w:color="auto"/>
        <w:left w:val="none" w:sz="0" w:space="0" w:color="auto"/>
        <w:bottom w:val="none" w:sz="0" w:space="0" w:color="auto"/>
        <w:right w:val="none" w:sz="0" w:space="0" w:color="auto"/>
      </w:divBdr>
    </w:div>
    <w:div w:id="912348338">
      <w:bodyDiv w:val="1"/>
      <w:marLeft w:val="0"/>
      <w:marRight w:val="0"/>
      <w:marTop w:val="0"/>
      <w:marBottom w:val="0"/>
      <w:divBdr>
        <w:top w:val="none" w:sz="0" w:space="0" w:color="auto"/>
        <w:left w:val="none" w:sz="0" w:space="0" w:color="auto"/>
        <w:bottom w:val="none" w:sz="0" w:space="0" w:color="auto"/>
        <w:right w:val="none" w:sz="0" w:space="0" w:color="auto"/>
      </w:divBdr>
    </w:div>
    <w:div w:id="947927793">
      <w:bodyDiv w:val="1"/>
      <w:marLeft w:val="0"/>
      <w:marRight w:val="0"/>
      <w:marTop w:val="0"/>
      <w:marBottom w:val="0"/>
      <w:divBdr>
        <w:top w:val="none" w:sz="0" w:space="0" w:color="auto"/>
        <w:left w:val="none" w:sz="0" w:space="0" w:color="auto"/>
        <w:bottom w:val="none" w:sz="0" w:space="0" w:color="auto"/>
        <w:right w:val="none" w:sz="0" w:space="0" w:color="auto"/>
      </w:divBdr>
    </w:div>
    <w:div w:id="958102464">
      <w:bodyDiv w:val="1"/>
      <w:marLeft w:val="0"/>
      <w:marRight w:val="0"/>
      <w:marTop w:val="0"/>
      <w:marBottom w:val="0"/>
      <w:divBdr>
        <w:top w:val="none" w:sz="0" w:space="0" w:color="auto"/>
        <w:left w:val="none" w:sz="0" w:space="0" w:color="auto"/>
        <w:bottom w:val="none" w:sz="0" w:space="0" w:color="auto"/>
        <w:right w:val="none" w:sz="0" w:space="0" w:color="auto"/>
      </w:divBdr>
    </w:div>
    <w:div w:id="983268386">
      <w:bodyDiv w:val="1"/>
      <w:marLeft w:val="0"/>
      <w:marRight w:val="0"/>
      <w:marTop w:val="0"/>
      <w:marBottom w:val="0"/>
      <w:divBdr>
        <w:top w:val="none" w:sz="0" w:space="0" w:color="auto"/>
        <w:left w:val="none" w:sz="0" w:space="0" w:color="auto"/>
        <w:bottom w:val="none" w:sz="0" w:space="0" w:color="auto"/>
        <w:right w:val="none" w:sz="0" w:space="0" w:color="auto"/>
      </w:divBdr>
    </w:div>
    <w:div w:id="1026709024">
      <w:bodyDiv w:val="1"/>
      <w:marLeft w:val="0"/>
      <w:marRight w:val="0"/>
      <w:marTop w:val="0"/>
      <w:marBottom w:val="0"/>
      <w:divBdr>
        <w:top w:val="none" w:sz="0" w:space="0" w:color="auto"/>
        <w:left w:val="none" w:sz="0" w:space="0" w:color="auto"/>
        <w:bottom w:val="none" w:sz="0" w:space="0" w:color="auto"/>
        <w:right w:val="none" w:sz="0" w:space="0" w:color="auto"/>
      </w:divBdr>
    </w:div>
    <w:div w:id="1113017971">
      <w:bodyDiv w:val="1"/>
      <w:marLeft w:val="0"/>
      <w:marRight w:val="0"/>
      <w:marTop w:val="0"/>
      <w:marBottom w:val="0"/>
      <w:divBdr>
        <w:top w:val="none" w:sz="0" w:space="0" w:color="auto"/>
        <w:left w:val="none" w:sz="0" w:space="0" w:color="auto"/>
        <w:bottom w:val="none" w:sz="0" w:space="0" w:color="auto"/>
        <w:right w:val="none" w:sz="0" w:space="0" w:color="auto"/>
      </w:divBdr>
    </w:div>
    <w:div w:id="1119764623">
      <w:bodyDiv w:val="1"/>
      <w:marLeft w:val="0"/>
      <w:marRight w:val="0"/>
      <w:marTop w:val="0"/>
      <w:marBottom w:val="0"/>
      <w:divBdr>
        <w:top w:val="none" w:sz="0" w:space="0" w:color="auto"/>
        <w:left w:val="none" w:sz="0" w:space="0" w:color="auto"/>
        <w:bottom w:val="none" w:sz="0" w:space="0" w:color="auto"/>
        <w:right w:val="none" w:sz="0" w:space="0" w:color="auto"/>
      </w:divBdr>
    </w:div>
    <w:div w:id="1123500967">
      <w:bodyDiv w:val="1"/>
      <w:marLeft w:val="0"/>
      <w:marRight w:val="0"/>
      <w:marTop w:val="0"/>
      <w:marBottom w:val="0"/>
      <w:divBdr>
        <w:top w:val="none" w:sz="0" w:space="0" w:color="auto"/>
        <w:left w:val="none" w:sz="0" w:space="0" w:color="auto"/>
        <w:bottom w:val="none" w:sz="0" w:space="0" w:color="auto"/>
        <w:right w:val="none" w:sz="0" w:space="0" w:color="auto"/>
      </w:divBdr>
    </w:div>
    <w:div w:id="1158036953">
      <w:bodyDiv w:val="1"/>
      <w:marLeft w:val="0"/>
      <w:marRight w:val="0"/>
      <w:marTop w:val="0"/>
      <w:marBottom w:val="0"/>
      <w:divBdr>
        <w:top w:val="none" w:sz="0" w:space="0" w:color="auto"/>
        <w:left w:val="none" w:sz="0" w:space="0" w:color="auto"/>
        <w:bottom w:val="none" w:sz="0" w:space="0" w:color="auto"/>
        <w:right w:val="none" w:sz="0" w:space="0" w:color="auto"/>
      </w:divBdr>
    </w:div>
    <w:div w:id="1165710433">
      <w:bodyDiv w:val="1"/>
      <w:marLeft w:val="0"/>
      <w:marRight w:val="0"/>
      <w:marTop w:val="0"/>
      <w:marBottom w:val="0"/>
      <w:divBdr>
        <w:top w:val="none" w:sz="0" w:space="0" w:color="auto"/>
        <w:left w:val="none" w:sz="0" w:space="0" w:color="auto"/>
        <w:bottom w:val="none" w:sz="0" w:space="0" w:color="auto"/>
        <w:right w:val="none" w:sz="0" w:space="0" w:color="auto"/>
      </w:divBdr>
    </w:div>
    <w:div w:id="1202552369">
      <w:bodyDiv w:val="1"/>
      <w:marLeft w:val="0"/>
      <w:marRight w:val="0"/>
      <w:marTop w:val="0"/>
      <w:marBottom w:val="0"/>
      <w:divBdr>
        <w:top w:val="none" w:sz="0" w:space="0" w:color="auto"/>
        <w:left w:val="none" w:sz="0" w:space="0" w:color="auto"/>
        <w:bottom w:val="none" w:sz="0" w:space="0" w:color="auto"/>
        <w:right w:val="none" w:sz="0" w:space="0" w:color="auto"/>
      </w:divBdr>
    </w:div>
    <w:div w:id="1252082375">
      <w:bodyDiv w:val="1"/>
      <w:marLeft w:val="0"/>
      <w:marRight w:val="0"/>
      <w:marTop w:val="0"/>
      <w:marBottom w:val="0"/>
      <w:divBdr>
        <w:top w:val="none" w:sz="0" w:space="0" w:color="auto"/>
        <w:left w:val="none" w:sz="0" w:space="0" w:color="auto"/>
        <w:bottom w:val="none" w:sz="0" w:space="0" w:color="auto"/>
        <w:right w:val="none" w:sz="0" w:space="0" w:color="auto"/>
      </w:divBdr>
    </w:div>
    <w:div w:id="1258708505">
      <w:bodyDiv w:val="1"/>
      <w:marLeft w:val="0"/>
      <w:marRight w:val="0"/>
      <w:marTop w:val="0"/>
      <w:marBottom w:val="0"/>
      <w:divBdr>
        <w:top w:val="none" w:sz="0" w:space="0" w:color="auto"/>
        <w:left w:val="none" w:sz="0" w:space="0" w:color="auto"/>
        <w:bottom w:val="none" w:sz="0" w:space="0" w:color="auto"/>
        <w:right w:val="none" w:sz="0" w:space="0" w:color="auto"/>
      </w:divBdr>
    </w:div>
    <w:div w:id="1268385789">
      <w:bodyDiv w:val="1"/>
      <w:marLeft w:val="0"/>
      <w:marRight w:val="0"/>
      <w:marTop w:val="0"/>
      <w:marBottom w:val="0"/>
      <w:divBdr>
        <w:top w:val="none" w:sz="0" w:space="0" w:color="auto"/>
        <w:left w:val="none" w:sz="0" w:space="0" w:color="auto"/>
        <w:bottom w:val="none" w:sz="0" w:space="0" w:color="auto"/>
        <w:right w:val="none" w:sz="0" w:space="0" w:color="auto"/>
      </w:divBdr>
    </w:div>
    <w:div w:id="1311056703">
      <w:bodyDiv w:val="1"/>
      <w:marLeft w:val="0"/>
      <w:marRight w:val="0"/>
      <w:marTop w:val="0"/>
      <w:marBottom w:val="0"/>
      <w:divBdr>
        <w:top w:val="none" w:sz="0" w:space="0" w:color="auto"/>
        <w:left w:val="none" w:sz="0" w:space="0" w:color="auto"/>
        <w:bottom w:val="none" w:sz="0" w:space="0" w:color="auto"/>
        <w:right w:val="none" w:sz="0" w:space="0" w:color="auto"/>
      </w:divBdr>
    </w:div>
    <w:div w:id="1403406026">
      <w:bodyDiv w:val="1"/>
      <w:marLeft w:val="0"/>
      <w:marRight w:val="0"/>
      <w:marTop w:val="0"/>
      <w:marBottom w:val="0"/>
      <w:divBdr>
        <w:top w:val="none" w:sz="0" w:space="0" w:color="auto"/>
        <w:left w:val="none" w:sz="0" w:space="0" w:color="auto"/>
        <w:bottom w:val="none" w:sz="0" w:space="0" w:color="auto"/>
        <w:right w:val="none" w:sz="0" w:space="0" w:color="auto"/>
      </w:divBdr>
    </w:div>
    <w:div w:id="1424254229">
      <w:bodyDiv w:val="1"/>
      <w:marLeft w:val="0"/>
      <w:marRight w:val="0"/>
      <w:marTop w:val="0"/>
      <w:marBottom w:val="0"/>
      <w:divBdr>
        <w:top w:val="none" w:sz="0" w:space="0" w:color="auto"/>
        <w:left w:val="none" w:sz="0" w:space="0" w:color="auto"/>
        <w:bottom w:val="none" w:sz="0" w:space="0" w:color="auto"/>
        <w:right w:val="none" w:sz="0" w:space="0" w:color="auto"/>
      </w:divBdr>
    </w:div>
    <w:div w:id="1429621866">
      <w:bodyDiv w:val="1"/>
      <w:marLeft w:val="0"/>
      <w:marRight w:val="0"/>
      <w:marTop w:val="0"/>
      <w:marBottom w:val="0"/>
      <w:divBdr>
        <w:top w:val="none" w:sz="0" w:space="0" w:color="auto"/>
        <w:left w:val="none" w:sz="0" w:space="0" w:color="auto"/>
        <w:bottom w:val="none" w:sz="0" w:space="0" w:color="auto"/>
        <w:right w:val="none" w:sz="0" w:space="0" w:color="auto"/>
      </w:divBdr>
    </w:div>
    <w:div w:id="1459227260">
      <w:bodyDiv w:val="1"/>
      <w:marLeft w:val="0"/>
      <w:marRight w:val="0"/>
      <w:marTop w:val="0"/>
      <w:marBottom w:val="0"/>
      <w:divBdr>
        <w:top w:val="none" w:sz="0" w:space="0" w:color="auto"/>
        <w:left w:val="none" w:sz="0" w:space="0" w:color="auto"/>
        <w:bottom w:val="none" w:sz="0" w:space="0" w:color="auto"/>
        <w:right w:val="none" w:sz="0" w:space="0" w:color="auto"/>
      </w:divBdr>
    </w:div>
    <w:div w:id="1461412795">
      <w:bodyDiv w:val="1"/>
      <w:marLeft w:val="0"/>
      <w:marRight w:val="0"/>
      <w:marTop w:val="0"/>
      <w:marBottom w:val="0"/>
      <w:divBdr>
        <w:top w:val="none" w:sz="0" w:space="0" w:color="auto"/>
        <w:left w:val="none" w:sz="0" w:space="0" w:color="auto"/>
        <w:bottom w:val="none" w:sz="0" w:space="0" w:color="auto"/>
        <w:right w:val="none" w:sz="0" w:space="0" w:color="auto"/>
      </w:divBdr>
    </w:div>
    <w:div w:id="1461725351">
      <w:bodyDiv w:val="1"/>
      <w:marLeft w:val="0"/>
      <w:marRight w:val="0"/>
      <w:marTop w:val="0"/>
      <w:marBottom w:val="0"/>
      <w:divBdr>
        <w:top w:val="none" w:sz="0" w:space="0" w:color="auto"/>
        <w:left w:val="none" w:sz="0" w:space="0" w:color="auto"/>
        <w:bottom w:val="none" w:sz="0" w:space="0" w:color="auto"/>
        <w:right w:val="none" w:sz="0" w:space="0" w:color="auto"/>
      </w:divBdr>
    </w:div>
    <w:div w:id="1481648822">
      <w:bodyDiv w:val="1"/>
      <w:marLeft w:val="0"/>
      <w:marRight w:val="0"/>
      <w:marTop w:val="0"/>
      <w:marBottom w:val="0"/>
      <w:divBdr>
        <w:top w:val="none" w:sz="0" w:space="0" w:color="auto"/>
        <w:left w:val="none" w:sz="0" w:space="0" w:color="auto"/>
        <w:bottom w:val="none" w:sz="0" w:space="0" w:color="auto"/>
        <w:right w:val="none" w:sz="0" w:space="0" w:color="auto"/>
      </w:divBdr>
    </w:div>
    <w:div w:id="1515027128">
      <w:bodyDiv w:val="1"/>
      <w:marLeft w:val="0"/>
      <w:marRight w:val="0"/>
      <w:marTop w:val="0"/>
      <w:marBottom w:val="0"/>
      <w:divBdr>
        <w:top w:val="none" w:sz="0" w:space="0" w:color="auto"/>
        <w:left w:val="none" w:sz="0" w:space="0" w:color="auto"/>
        <w:bottom w:val="none" w:sz="0" w:space="0" w:color="auto"/>
        <w:right w:val="none" w:sz="0" w:space="0" w:color="auto"/>
      </w:divBdr>
    </w:div>
    <w:div w:id="1535197148">
      <w:bodyDiv w:val="1"/>
      <w:marLeft w:val="0"/>
      <w:marRight w:val="0"/>
      <w:marTop w:val="0"/>
      <w:marBottom w:val="0"/>
      <w:divBdr>
        <w:top w:val="none" w:sz="0" w:space="0" w:color="auto"/>
        <w:left w:val="none" w:sz="0" w:space="0" w:color="auto"/>
        <w:bottom w:val="none" w:sz="0" w:space="0" w:color="auto"/>
        <w:right w:val="none" w:sz="0" w:space="0" w:color="auto"/>
      </w:divBdr>
    </w:div>
    <w:div w:id="1656763734">
      <w:bodyDiv w:val="1"/>
      <w:marLeft w:val="0"/>
      <w:marRight w:val="0"/>
      <w:marTop w:val="0"/>
      <w:marBottom w:val="0"/>
      <w:divBdr>
        <w:top w:val="none" w:sz="0" w:space="0" w:color="auto"/>
        <w:left w:val="none" w:sz="0" w:space="0" w:color="auto"/>
        <w:bottom w:val="none" w:sz="0" w:space="0" w:color="auto"/>
        <w:right w:val="none" w:sz="0" w:space="0" w:color="auto"/>
      </w:divBdr>
    </w:div>
    <w:div w:id="1657755637">
      <w:bodyDiv w:val="1"/>
      <w:marLeft w:val="0"/>
      <w:marRight w:val="0"/>
      <w:marTop w:val="0"/>
      <w:marBottom w:val="0"/>
      <w:divBdr>
        <w:top w:val="none" w:sz="0" w:space="0" w:color="auto"/>
        <w:left w:val="none" w:sz="0" w:space="0" w:color="auto"/>
        <w:bottom w:val="none" w:sz="0" w:space="0" w:color="auto"/>
        <w:right w:val="none" w:sz="0" w:space="0" w:color="auto"/>
      </w:divBdr>
    </w:div>
    <w:div w:id="1660839474">
      <w:bodyDiv w:val="1"/>
      <w:marLeft w:val="0"/>
      <w:marRight w:val="0"/>
      <w:marTop w:val="0"/>
      <w:marBottom w:val="0"/>
      <w:divBdr>
        <w:top w:val="none" w:sz="0" w:space="0" w:color="auto"/>
        <w:left w:val="none" w:sz="0" w:space="0" w:color="auto"/>
        <w:bottom w:val="none" w:sz="0" w:space="0" w:color="auto"/>
        <w:right w:val="none" w:sz="0" w:space="0" w:color="auto"/>
      </w:divBdr>
    </w:div>
    <w:div w:id="1677923359">
      <w:bodyDiv w:val="1"/>
      <w:marLeft w:val="0"/>
      <w:marRight w:val="0"/>
      <w:marTop w:val="0"/>
      <w:marBottom w:val="0"/>
      <w:divBdr>
        <w:top w:val="none" w:sz="0" w:space="0" w:color="auto"/>
        <w:left w:val="none" w:sz="0" w:space="0" w:color="auto"/>
        <w:bottom w:val="none" w:sz="0" w:space="0" w:color="auto"/>
        <w:right w:val="none" w:sz="0" w:space="0" w:color="auto"/>
      </w:divBdr>
    </w:div>
    <w:div w:id="1681393923">
      <w:bodyDiv w:val="1"/>
      <w:marLeft w:val="0"/>
      <w:marRight w:val="0"/>
      <w:marTop w:val="0"/>
      <w:marBottom w:val="0"/>
      <w:divBdr>
        <w:top w:val="none" w:sz="0" w:space="0" w:color="auto"/>
        <w:left w:val="none" w:sz="0" w:space="0" w:color="auto"/>
        <w:bottom w:val="none" w:sz="0" w:space="0" w:color="auto"/>
        <w:right w:val="none" w:sz="0" w:space="0" w:color="auto"/>
      </w:divBdr>
    </w:div>
    <w:div w:id="1717967353">
      <w:bodyDiv w:val="1"/>
      <w:marLeft w:val="0"/>
      <w:marRight w:val="0"/>
      <w:marTop w:val="0"/>
      <w:marBottom w:val="0"/>
      <w:divBdr>
        <w:top w:val="none" w:sz="0" w:space="0" w:color="auto"/>
        <w:left w:val="none" w:sz="0" w:space="0" w:color="auto"/>
        <w:bottom w:val="none" w:sz="0" w:space="0" w:color="auto"/>
        <w:right w:val="none" w:sz="0" w:space="0" w:color="auto"/>
      </w:divBdr>
    </w:div>
    <w:div w:id="1722245365">
      <w:bodyDiv w:val="1"/>
      <w:marLeft w:val="0"/>
      <w:marRight w:val="0"/>
      <w:marTop w:val="0"/>
      <w:marBottom w:val="0"/>
      <w:divBdr>
        <w:top w:val="none" w:sz="0" w:space="0" w:color="auto"/>
        <w:left w:val="none" w:sz="0" w:space="0" w:color="auto"/>
        <w:bottom w:val="none" w:sz="0" w:space="0" w:color="auto"/>
        <w:right w:val="none" w:sz="0" w:space="0" w:color="auto"/>
      </w:divBdr>
    </w:div>
    <w:div w:id="1732535841">
      <w:bodyDiv w:val="1"/>
      <w:marLeft w:val="0"/>
      <w:marRight w:val="0"/>
      <w:marTop w:val="0"/>
      <w:marBottom w:val="0"/>
      <w:divBdr>
        <w:top w:val="none" w:sz="0" w:space="0" w:color="auto"/>
        <w:left w:val="none" w:sz="0" w:space="0" w:color="auto"/>
        <w:bottom w:val="none" w:sz="0" w:space="0" w:color="auto"/>
        <w:right w:val="none" w:sz="0" w:space="0" w:color="auto"/>
      </w:divBdr>
    </w:div>
    <w:div w:id="1733042401">
      <w:bodyDiv w:val="1"/>
      <w:marLeft w:val="0"/>
      <w:marRight w:val="0"/>
      <w:marTop w:val="0"/>
      <w:marBottom w:val="0"/>
      <w:divBdr>
        <w:top w:val="none" w:sz="0" w:space="0" w:color="auto"/>
        <w:left w:val="none" w:sz="0" w:space="0" w:color="auto"/>
        <w:bottom w:val="none" w:sz="0" w:space="0" w:color="auto"/>
        <w:right w:val="none" w:sz="0" w:space="0" w:color="auto"/>
      </w:divBdr>
    </w:div>
    <w:div w:id="1748917367">
      <w:bodyDiv w:val="1"/>
      <w:marLeft w:val="0"/>
      <w:marRight w:val="0"/>
      <w:marTop w:val="0"/>
      <w:marBottom w:val="0"/>
      <w:divBdr>
        <w:top w:val="none" w:sz="0" w:space="0" w:color="auto"/>
        <w:left w:val="none" w:sz="0" w:space="0" w:color="auto"/>
        <w:bottom w:val="none" w:sz="0" w:space="0" w:color="auto"/>
        <w:right w:val="none" w:sz="0" w:space="0" w:color="auto"/>
      </w:divBdr>
    </w:div>
    <w:div w:id="1873036664">
      <w:bodyDiv w:val="1"/>
      <w:marLeft w:val="0"/>
      <w:marRight w:val="0"/>
      <w:marTop w:val="0"/>
      <w:marBottom w:val="0"/>
      <w:divBdr>
        <w:top w:val="none" w:sz="0" w:space="0" w:color="auto"/>
        <w:left w:val="none" w:sz="0" w:space="0" w:color="auto"/>
        <w:bottom w:val="none" w:sz="0" w:space="0" w:color="auto"/>
        <w:right w:val="none" w:sz="0" w:space="0" w:color="auto"/>
      </w:divBdr>
    </w:div>
    <w:div w:id="1914244175">
      <w:bodyDiv w:val="1"/>
      <w:marLeft w:val="0"/>
      <w:marRight w:val="0"/>
      <w:marTop w:val="0"/>
      <w:marBottom w:val="0"/>
      <w:divBdr>
        <w:top w:val="none" w:sz="0" w:space="0" w:color="auto"/>
        <w:left w:val="none" w:sz="0" w:space="0" w:color="auto"/>
        <w:bottom w:val="none" w:sz="0" w:space="0" w:color="auto"/>
        <w:right w:val="none" w:sz="0" w:space="0" w:color="auto"/>
      </w:divBdr>
    </w:div>
    <w:div w:id="1918123498">
      <w:bodyDiv w:val="1"/>
      <w:marLeft w:val="0"/>
      <w:marRight w:val="0"/>
      <w:marTop w:val="0"/>
      <w:marBottom w:val="0"/>
      <w:divBdr>
        <w:top w:val="none" w:sz="0" w:space="0" w:color="auto"/>
        <w:left w:val="none" w:sz="0" w:space="0" w:color="auto"/>
        <w:bottom w:val="none" w:sz="0" w:space="0" w:color="auto"/>
        <w:right w:val="none" w:sz="0" w:space="0" w:color="auto"/>
      </w:divBdr>
    </w:div>
    <w:div w:id="1924024219">
      <w:bodyDiv w:val="1"/>
      <w:marLeft w:val="0"/>
      <w:marRight w:val="0"/>
      <w:marTop w:val="0"/>
      <w:marBottom w:val="0"/>
      <w:divBdr>
        <w:top w:val="none" w:sz="0" w:space="0" w:color="auto"/>
        <w:left w:val="none" w:sz="0" w:space="0" w:color="auto"/>
        <w:bottom w:val="none" w:sz="0" w:space="0" w:color="auto"/>
        <w:right w:val="none" w:sz="0" w:space="0" w:color="auto"/>
      </w:divBdr>
    </w:div>
    <w:div w:id="1932665650">
      <w:bodyDiv w:val="1"/>
      <w:marLeft w:val="0"/>
      <w:marRight w:val="0"/>
      <w:marTop w:val="0"/>
      <w:marBottom w:val="0"/>
      <w:divBdr>
        <w:top w:val="none" w:sz="0" w:space="0" w:color="auto"/>
        <w:left w:val="none" w:sz="0" w:space="0" w:color="auto"/>
        <w:bottom w:val="none" w:sz="0" w:space="0" w:color="auto"/>
        <w:right w:val="none" w:sz="0" w:space="0" w:color="auto"/>
      </w:divBdr>
    </w:div>
    <w:div w:id="1934896083">
      <w:bodyDiv w:val="1"/>
      <w:marLeft w:val="0"/>
      <w:marRight w:val="0"/>
      <w:marTop w:val="0"/>
      <w:marBottom w:val="0"/>
      <w:divBdr>
        <w:top w:val="none" w:sz="0" w:space="0" w:color="auto"/>
        <w:left w:val="none" w:sz="0" w:space="0" w:color="auto"/>
        <w:bottom w:val="none" w:sz="0" w:space="0" w:color="auto"/>
        <w:right w:val="none" w:sz="0" w:space="0" w:color="auto"/>
      </w:divBdr>
    </w:div>
    <w:div w:id="1939559376">
      <w:bodyDiv w:val="1"/>
      <w:marLeft w:val="0"/>
      <w:marRight w:val="0"/>
      <w:marTop w:val="0"/>
      <w:marBottom w:val="0"/>
      <w:divBdr>
        <w:top w:val="none" w:sz="0" w:space="0" w:color="auto"/>
        <w:left w:val="none" w:sz="0" w:space="0" w:color="auto"/>
        <w:bottom w:val="none" w:sz="0" w:space="0" w:color="auto"/>
        <w:right w:val="none" w:sz="0" w:space="0" w:color="auto"/>
      </w:divBdr>
    </w:div>
    <w:div w:id="1959296915">
      <w:bodyDiv w:val="1"/>
      <w:marLeft w:val="0"/>
      <w:marRight w:val="0"/>
      <w:marTop w:val="0"/>
      <w:marBottom w:val="0"/>
      <w:divBdr>
        <w:top w:val="none" w:sz="0" w:space="0" w:color="auto"/>
        <w:left w:val="none" w:sz="0" w:space="0" w:color="auto"/>
        <w:bottom w:val="none" w:sz="0" w:space="0" w:color="auto"/>
        <w:right w:val="none" w:sz="0" w:space="0" w:color="auto"/>
      </w:divBdr>
    </w:div>
    <w:div w:id="1976987264">
      <w:bodyDiv w:val="1"/>
      <w:marLeft w:val="0"/>
      <w:marRight w:val="0"/>
      <w:marTop w:val="0"/>
      <w:marBottom w:val="0"/>
      <w:divBdr>
        <w:top w:val="none" w:sz="0" w:space="0" w:color="auto"/>
        <w:left w:val="none" w:sz="0" w:space="0" w:color="auto"/>
        <w:bottom w:val="none" w:sz="0" w:space="0" w:color="auto"/>
        <w:right w:val="none" w:sz="0" w:space="0" w:color="auto"/>
      </w:divBdr>
    </w:div>
    <w:div w:id="1980718798">
      <w:bodyDiv w:val="1"/>
      <w:marLeft w:val="0"/>
      <w:marRight w:val="0"/>
      <w:marTop w:val="0"/>
      <w:marBottom w:val="0"/>
      <w:divBdr>
        <w:top w:val="none" w:sz="0" w:space="0" w:color="auto"/>
        <w:left w:val="none" w:sz="0" w:space="0" w:color="auto"/>
        <w:bottom w:val="none" w:sz="0" w:space="0" w:color="auto"/>
        <w:right w:val="none" w:sz="0" w:space="0" w:color="auto"/>
      </w:divBdr>
    </w:div>
    <w:div w:id="1998609822">
      <w:bodyDiv w:val="1"/>
      <w:marLeft w:val="0"/>
      <w:marRight w:val="0"/>
      <w:marTop w:val="0"/>
      <w:marBottom w:val="0"/>
      <w:divBdr>
        <w:top w:val="none" w:sz="0" w:space="0" w:color="auto"/>
        <w:left w:val="none" w:sz="0" w:space="0" w:color="auto"/>
        <w:bottom w:val="none" w:sz="0" w:space="0" w:color="auto"/>
        <w:right w:val="none" w:sz="0" w:space="0" w:color="auto"/>
      </w:divBdr>
    </w:div>
    <w:div w:id="2008170500">
      <w:bodyDiv w:val="1"/>
      <w:marLeft w:val="0"/>
      <w:marRight w:val="0"/>
      <w:marTop w:val="0"/>
      <w:marBottom w:val="0"/>
      <w:divBdr>
        <w:top w:val="none" w:sz="0" w:space="0" w:color="auto"/>
        <w:left w:val="none" w:sz="0" w:space="0" w:color="auto"/>
        <w:bottom w:val="none" w:sz="0" w:space="0" w:color="auto"/>
        <w:right w:val="none" w:sz="0" w:space="0" w:color="auto"/>
      </w:divBdr>
    </w:div>
    <w:div w:id="2049916188">
      <w:bodyDiv w:val="1"/>
      <w:marLeft w:val="0"/>
      <w:marRight w:val="0"/>
      <w:marTop w:val="0"/>
      <w:marBottom w:val="0"/>
      <w:divBdr>
        <w:top w:val="none" w:sz="0" w:space="0" w:color="auto"/>
        <w:left w:val="none" w:sz="0" w:space="0" w:color="auto"/>
        <w:bottom w:val="none" w:sz="0" w:space="0" w:color="auto"/>
        <w:right w:val="none" w:sz="0" w:space="0" w:color="auto"/>
      </w:divBdr>
    </w:div>
    <w:div w:id="2070497895">
      <w:bodyDiv w:val="1"/>
      <w:marLeft w:val="0"/>
      <w:marRight w:val="0"/>
      <w:marTop w:val="0"/>
      <w:marBottom w:val="0"/>
      <w:divBdr>
        <w:top w:val="none" w:sz="0" w:space="0" w:color="auto"/>
        <w:left w:val="none" w:sz="0" w:space="0" w:color="auto"/>
        <w:bottom w:val="none" w:sz="0" w:space="0" w:color="auto"/>
        <w:right w:val="none" w:sz="0" w:space="0" w:color="auto"/>
      </w:divBdr>
    </w:div>
    <w:div w:id="2079356026">
      <w:bodyDiv w:val="1"/>
      <w:marLeft w:val="0"/>
      <w:marRight w:val="0"/>
      <w:marTop w:val="0"/>
      <w:marBottom w:val="0"/>
      <w:divBdr>
        <w:top w:val="none" w:sz="0" w:space="0" w:color="auto"/>
        <w:left w:val="none" w:sz="0" w:space="0" w:color="auto"/>
        <w:bottom w:val="none" w:sz="0" w:space="0" w:color="auto"/>
        <w:right w:val="none" w:sz="0" w:space="0" w:color="auto"/>
      </w:divBdr>
    </w:div>
    <w:div w:id="2103140275">
      <w:bodyDiv w:val="1"/>
      <w:marLeft w:val="0"/>
      <w:marRight w:val="0"/>
      <w:marTop w:val="0"/>
      <w:marBottom w:val="0"/>
      <w:divBdr>
        <w:top w:val="none" w:sz="0" w:space="0" w:color="auto"/>
        <w:left w:val="none" w:sz="0" w:space="0" w:color="auto"/>
        <w:bottom w:val="none" w:sz="0" w:space="0" w:color="auto"/>
        <w:right w:val="none" w:sz="0" w:space="0" w:color="auto"/>
      </w:divBdr>
    </w:div>
    <w:div w:id="2114282492">
      <w:bodyDiv w:val="1"/>
      <w:marLeft w:val="0"/>
      <w:marRight w:val="0"/>
      <w:marTop w:val="0"/>
      <w:marBottom w:val="0"/>
      <w:divBdr>
        <w:top w:val="none" w:sz="0" w:space="0" w:color="auto"/>
        <w:left w:val="none" w:sz="0" w:space="0" w:color="auto"/>
        <w:bottom w:val="none" w:sz="0" w:space="0" w:color="auto"/>
        <w:right w:val="none" w:sz="0" w:space="0" w:color="auto"/>
      </w:divBdr>
    </w:div>
    <w:div w:id="2145006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Sch08</b:Tag>
    <b:SourceType>BookSection</b:SourceType>
    <b:Guid>{467B6C68-02D4-8A4A-975C-63FA96626549}</b:Guid>
    <b:Author>
      <b:Author>
        <b:NameList>
          <b:Person>
            <b:Last>Schuh</b:Last>
            <b:Middle>L</b:Middle>
            <b:First>K</b:First>
          </b:Person>
          <b:Person>
            <b:Last>Barab</b:Last>
            <b:Middle>A</b:Middle>
            <b:First>S</b:First>
          </b:Person>
        </b:NameList>
      </b:Author>
      <b:Editor>
        <b:NameList>
          <b:Person>
            <b:Last>Spector</b:Last>
            <b:Middle>M</b:Middle>
            <b:First>J</b:First>
          </b:Person>
          <b:Person>
            <b:Last>Merrill</b:Last>
            <b:Middle>D</b:Middle>
            <b:First>M</b:First>
          </b:Person>
          <b:Person>
            <b:Last>Merrienboer</b:Last>
            <b:Middle>van</b:Middle>
            <b:First>J</b:First>
          </b:Person>
          <b:Person>
            <b:Last>Driscoll</b:Last>
            <b:Middle>P</b:Middle>
            <b:First>M</b:First>
          </b:Person>
        </b:NameList>
      </b:Editor>
    </b:Author>
    <b:Title>Philosophical Perspectives</b:Title>
    <b:City>New York</b:City>
    <b:StateProvince>NY</b:StateProvince>
    <b:Publisher>Lawrence Erlbaum Associates</b:Publisher>
    <b:Year>2008</b:Year>
    <b:Pages>67-82</b:Pages>
    <b:BookTitle>Handbook of Research on Educational Communications and Technology 3rd Edition</b:BookTitle>
    <b:RefOrder>2</b:RefOrder>
  </b:Source>
  <b:Source>
    <b:Tag>And14</b:Tag>
    <b:SourceType>InternetSite</b:SourceType>
    <b:Guid>{D2DF87B2-1601-8A4E-90EC-8486417C50A9}</b:Guid>
    <b:Title>Engagement: not motivation, nor conformity</b:Title>
    <b:Year>2014</b:Year>
    <b:Author>
      <b:Author>
        <b:NameList>
          <b:Person>
            <b:Last>Andrews</b:Last>
            <b:First>Jon</b:First>
          </b:Person>
        </b:NameList>
      </b:Author>
    </b:Author>
    <b:InternetSiteTitle>Centre for Research Innovation and Future Development</b:InternetSiteTitle>
    <b:URL>http://thecentreonline.com.au/2014/01/15/engagement-motivation-conformity/</b:URL>
    <b:Month>January</b:Month>
    <b:Day>15</b:Day>
    <b:YearAccessed>2015</b:YearAccessed>
    <b:MonthAccessed>September</b:MonthAccessed>
    <b:DayAccessed>10</b:DayAccessed>
    <b:RefOrder>1</b:RefOrder>
  </b:Source>
  <b:Source>
    <b:Tag>Sch15</b:Tag>
    <b:SourceType>DocumentFromInternetSite</b:SourceType>
    <b:Guid>{08000BCC-0716-714A-801A-6A80045DB24B}</b:Guid>
    <b:Title>Schlechty Centre on Engagement</b:Title>
    <b:InternetSiteTitle>Schlechty Centre</b:InternetSiteTitle>
    <b:URL>http://www.schlechtycenter.org/system/tool_attachment/4046/original/sc_pdf_engagement.pdf?1272415798</b:URL>
    <b:YearAccessed>2015</b:YearAccessed>
    <b:MonthAccessed>September</b:MonthAccessed>
    <b:DayAccessed>20</b:DayAccessed>
    <b:Author>
      <b:Author>
        <b:NameList>
          <b:Person>
            <b:Last>Schlechty</b:Last>
            <b:First>Phil</b:First>
          </b:Person>
        </b:NameList>
      </b:Author>
    </b:Author>
    <b:Year>2011</b:Year>
    <b:RefOrder>6</b:RefOrder>
  </b:Source>
  <b:Source>
    <b:Tag>Lom07</b:Tag>
    <b:SourceType>BookSection</b:SourceType>
    <b:Guid>{641E34F3-D5E6-3A43-B87B-9D3A850167C8}</b:Guid>
    <b:Title>Authenit Learning for the 21st Century: An Overview</b:Title>
    <b:Year>2007</b:Year>
    <b:BookTitle>EDUCASE Learning Initiative</b:BookTitle>
    <b:Author>
      <b:Author>
        <b:NameList>
          <b:Person>
            <b:Last>Lombardi</b:Last>
            <b:Middle>M</b:Middle>
            <b:First>Marilyn</b:First>
          </b:Person>
        </b:NameList>
      </b:Author>
      <b:Editor>
        <b:NameList>
          <b:Person>
            <b:Last>Oblinger</b:Last>
            <b:Middle>G</b:Middle>
            <b:First>D</b:First>
          </b:Person>
        </b:NameList>
      </b:Editor>
    </b:Author>
    <b:RefOrder>3</b:RefOrder>
  </b:Source>
  <b:Source>
    <b:Tag>Rul06</b:Tag>
    <b:SourceType>JournalArticle</b:SourceType>
    <b:Guid>{06D72C8F-53A0-3249-A996-9646B11391A5}</b:Guid>
    <b:Title>Editorial: The Componenets of Authentic Learning</b:Title>
    <b:Year>2006</b:Year>
    <b:Volume>3</b:Volume>
    <b:Pages>1-10</b:Pages>
    <b:Author>
      <b:Author>
        <b:NameList>
          <b:Person>
            <b:Last>Rule</b:Last>
            <b:Middle>C</b:Middle>
            <b:First>Audrey</b:First>
          </b:Person>
        </b:NameList>
      </b:Author>
    </b:Author>
    <b:JournalName>Journal of Authentic Learning</b:JournalName>
    <b:Issue>1</b:Issue>
    <b:RefOrder>4</b:RefOrder>
  </b:Source>
  <b:Source>
    <b:Tag>Pet05</b:Tag>
    <b:SourceType>JournalArticle</b:SourceType>
    <b:Guid>{4B06A36F-247D-704F-8E2F-12014FB36C6A}</b:Guid>
    <b:Title>In Search of Authenticity</b:Title>
    <b:JournalName>Journal of Management Studies</b:JournalName>
    <b:Year>2005</b:Year>
    <b:Month>July</b:Month>
    <b:Volume>42</b:Volume>
    <b:Issue>5</b:Issue>
    <b:Pages>1083-1098</b:Pages>
    <b:Author>
      <b:Author>
        <b:NameList>
          <b:Person>
            <b:Last>Peterson</b:Last>
            <b:Middle>A</b:Middle>
            <b:First>Richard</b:First>
          </b:Person>
        </b:NameList>
      </b:Author>
    </b:Author>
    <b:RefOrder>5</b:RefOrder>
  </b:Source>
  <b:Source>
    <b:Tag>Pet14</b:Tag>
    <b:SourceType>JournalArticle</b:SourceType>
    <b:Guid>{40516F63-98A4-5245-A30A-D12D0A557053}</b:Guid>
    <b:Title>The Shapes of Theory in Education</b:Title>
    <b:JournalName>Educational Philosophy and Theory</b:JournalName>
    <b:Year>2014</b:Year>
    <b:Volume>46</b:Volume>
    <b:Issue>12</b:Issue>
    <b:Pages>1315-1319</b:Pages>
    <b:Author>
      <b:Author>
        <b:NameList>
          <b:Person>
            <b:Last>Peters</b:Last>
            <b:Middle>A</b:Middle>
            <b:First>Michael</b:First>
          </b:Person>
        </b:NameList>
      </b:Author>
    </b:Author>
    <b:RefOrder>8</b:RefOrder>
  </b:Source>
  <b:Source>
    <b:Tag>Ful14</b:Tag>
    <b:SourceType>Book</b:SourceType>
    <b:Guid>{B52163EE-6579-7F49-B865-420A045304B1}</b:Guid>
    <b:Title>The Principal</b:Title>
    <b:City>San Francisco</b:City>
    <b:Publisher>Jossey-Bass</b:Publisher>
    <b:Year>2014</b:Year>
    <b:Author>
      <b:Author>
        <b:NameList>
          <b:Person>
            <b:Last>Fullan</b:Last>
            <b:First>Michael</b:First>
          </b:Person>
        </b:NameList>
      </b:Author>
    </b:Author>
    <b:RefOrder>9</b:RefOrder>
  </b:Source>
  <b:Source>
    <b:Tag>Kre13</b:Tag>
    <b:SourceType>JournalArticle</b:SourceType>
    <b:Guid>{E4444666-A474-BA42-BA3F-01F621978251}</b:Guid>
    <b:Title>Empowering the scholarship of teaching: an Arendtian and critical perspective</b:Title>
    <b:Year>2013</b:Year>
    <b:Volume>38</b:Volume>
    <b:Pages>857-869</b:Pages>
    <b:JournalName>Studies in Higher Education</b:JournalName>
    <b:Issue>6</b:Issue>
    <b:Author>
      <b:Author>
        <b:NameList>
          <b:Person>
            <b:Last>Kreber</b:Last>
            <b:First>Caroline</b:First>
          </b:Person>
        </b:NameList>
      </b:Author>
    </b:Author>
    <b:RefOrder>10</b:RefOrder>
  </b:Source>
  <b:Source>
    <b:Tag>Aus61</b:Tag>
    <b:SourceType>JournalArticle</b:SourceType>
    <b:Guid>{1272274B-5F59-3C48-807A-C96BCC1728D0}</b:Guid>
    <b:Title>In defense of verbal learning</b:Title>
    <b:JournalName>Educational Theory</b:JournalName>
    <b:Year>1961</b:Year>
    <b:Volume>11</b:Volume>
    <b:Issue>1</b:Issue>
    <b:Pages>15-25</b:Pages>
    <b:Author>
      <b:Author>
        <b:NameList>
          <b:Person>
            <b:Last>Ausubel</b:Last>
            <b:Middle>P</b:Middle>
            <b:First>D</b:First>
          </b:Person>
        </b:NameList>
      </b:Author>
    </b:Author>
    <b:RefOrder>11</b:RefOrder>
  </b:Source>
  <b:Source>
    <b:Tag>Sai10</b:Tag>
    <b:SourceType>JournalArticle</b:SourceType>
    <b:Guid>{4BF32061-7667-9749-AAAC-B758BE926732}</b:Guid>
    <b:Title>Actor-network theory of cosmopolitan education</b:Title>
    <b:JournalName>Curriculum Studies</b:JournalName>
    <b:Year>2010</b:Year>
    <b:Volume>42</b:Volume>
    <b:Issue>3</b:Issue>
    <b:Pages>333-351</b:Pages>
    <b:Author>
      <b:Author>
        <b:NameList>
          <b:Person>
            <b:Last>Saito</b:Last>
            <b:First>Hiro</b:First>
          </b:Person>
        </b:NameList>
      </b:Author>
    </b:Author>
    <b:RefOrder>12</b:RefOrder>
  </b:Source>
  <b:Source>
    <b:Tag>Sum97</b:Tag>
    <b:SourceType>JournalArticle</b:SourceType>
    <b:Guid>{83DAEF30-E788-5D4B-842D-67D3E6CF496B}</b:Guid>
    <b:Title>Enactivist Theory and Community Learning: toward a complexified understanding of actino research</b:Title>
    <b:JournalName>Education Actino Research</b:JournalName>
    <b:Year>1997</b:Year>
    <b:Volume>5</b:Volume>
    <b:Issue>3</b:Issue>
    <b:Pages>403-422</b:Pages>
    <b:Author>
      <b:Author>
        <b:NameList>
          <b:Person>
            <b:Last>Sumara</b:Last>
            <b:Middle>J</b:Middle>
            <b:First>Dennis</b:First>
          </b:Person>
          <b:Person>
            <b:Last>Davis</b:Last>
            <b:First>Brent</b:First>
          </b:Person>
        </b:NameList>
      </b:Author>
    </b:Author>
    <b:RefOrder>13</b:RefOrder>
  </b:Source>
  <b:Source>
    <b:Tag>Eng14</b:Tag>
    <b:SourceType>InternetSite</b:SourceType>
    <b:Guid>{0CF9E10E-C651-2544-A790-E0AC33B23160}</b:Guid>
    <b:Author>
      <b:Author>
        <b:Corporate>Engineers Without Borders</b:Corporate>
      </b:Author>
    </b:Author>
    <b:Title>EWB Challenge</b:Title>
    <b:Year>2014</b:Year>
    <b:InternetSiteTitle>EWB Challenge</b:InternetSiteTitle>
    <b:URL>http://ewbchallenge.org</b:URL>
    <b:YearAccessed>2015</b:YearAccessed>
    <b:MonthAccessed>September</b:MonthAccessed>
    <b:DayAccessed>20</b:DayAccessed>
    <b:RefOrder>14</b:RefOrder>
  </b:Source>
  <b:Source>
    <b:Tag>Mac13</b:Tag>
    <b:SourceType>Book</b:SourceType>
    <b:Guid>{FC9085DD-C403-8D42-B0AD-4A572E999B9E}</b:Guid>
    <b:Author>
      <b:Author>
        <b:NameList>
          <b:Person>
            <b:Last>Machiavelli</b:Last>
            <b:First>Niccolo</b:First>
          </b:Person>
        </b:NameList>
      </b:Author>
    </b:Author>
    <b:Title>The Prince</b:Title>
    <b:Year>1513</b:Year>
    <b:City>Florence</b:City>
    <b:Edition>Kobo</b:Edition>
    <b:RefOrder>7</b:RefOrder>
  </b:Source>
  <b:Source>
    <b:Tag>Mic15</b:Tag>
    <b:SourceType>InternetSite</b:SourceType>
    <b:Guid>{AC4FFD51-0A1A-6B4D-A4F1-3D1BB86F4CD0}</b:Guid>
    <b:Title>21st Century Learning Design</b:Title>
    <b:Year>2015</b:Year>
    <b:Author>
      <b:Author>
        <b:Corporate>Microsoft Educator Network</b:Corporate>
      </b:Author>
    </b:Author>
    <b:InternetSiteTitle>Microsfot Educator Network</b:InternetSiteTitle>
    <b:URL>https://www.educatornetwork.com/pd/21CLD/Overview</b:URL>
    <b:YearAccessed>2015</b:YearAccessed>
    <b:MonthAccessed>September</b:MonthAccessed>
    <b:DayAccessed>20</b:DayAccessed>
    <b:RefOrder>15</b:RefOrder>
  </b:Source>
  <b:Source>
    <b:Tag>Mic151</b:Tag>
    <b:SourceType>InternetSite</b:SourceType>
    <b:Guid>{953D993A-A027-1E42-8E55-FC49BF8DA953}</b:Guid>
    <b:Author>
      <b:Author>
        <b:Corporate>Microsoft Educator Network</b:Corporate>
      </b:Author>
    </b:Author>
    <b:Title>Partners in Learning School Research Overview</b:Title>
    <b:InternetSiteTitle>Microsoft Educator Network</b:InternetSiteTitle>
    <b:URL>https://www.educatornetwork.com/Sites/SchoolResearch/ForSchools/Index</b:URL>
    <b:Year>2015</b:Year>
    <b:YearAccessed>2015</b:YearAccessed>
    <b:MonthAccessed>September</b:MonthAccessed>
    <b:DayAccessed>21</b:DayAccessed>
    <b:RefOrder>16</b:RefOrder>
  </b:Source>
</b:Sources>
</file>

<file path=customXml/itemProps1.xml><?xml version="1.0" encoding="utf-8"?>
<ds:datastoreItem xmlns:ds="http://schemas.openxmlformats.org/officeDocument/2006/customXml" ds:itemID="{B4F68688-A79B-7749-9DF8-BDFD8199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3583</Words>
  <Characters>20425</Characters>
  <Application>Microsoft Macintosh Word</Application>
  <DocSecurity>0</DocSecurity>
  <Lines>170</Lines>
  <Paragraphs>47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Introduction</vt:lpstr>
      <vt:lpstr>Critique of Authenticity &amp; Authentic Learning in the Literature</vt:lpstr>
      <vt:lpstr>Learning Theories and Instructional Theories</vt:lpstr>
      <vt:lpstr>Behaviourism</vt:lpstr>
      <vt:lpstr>Constructivism</vt:lpstr>
      <vt:lpstr>Cosmopolitanism</vt:lpstr>
      <vt:lpstr>Enactivism</vt:lpstr>
      <vt:lpstr>Summary of Learning Theories and links to student engagement</vt:lpstr>
      <vt:lpstr>Critical Reflection on Practices</vt:lpstr>
      <vt:lpstr>Context</vt:lpstr>
      <vt:lpstr>Reflection on current practices</vt:lpstr>
      <vt:lpstr>Conclusion</vt:lpstr>
      <vt:lpstr/>
      <vt:lpstr>Bibliography</vt:lpstr>
      <vt:lpstr>Appendix A</vt:lpstr>
    </vt:vector>
  </TitlesOfParts>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Pinel</dc:creator>
  <cp:keywords/>
  <dc:description/>
  <cp:lastModifiedBy>Stephen Pinel</cp:lastModifiedBy>
  <cp:revision>5</cp:revision>
  <dcterms:created xsi:type="dcterms:W3CDTF">2016-08-18T23:49:00Z</dcterms:created>
  <dcterms:modified xsi:type="dcterms:W3CDTF">2016-08-20T06:46:00Z</dcterms:modified>
</cp:coreProperties>
</file>